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16A93A6D">
      <w:pPr>
        <w:pStyle w:val="14"/>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val="en-US" w:eastAsia="zh-CN"/>
        </w:rPr>
        <w:t>岳阳市医疗保障局</w:t>
      </w:r>
    </w:p>
    <w:p w14:paraId="6934EBE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3A699C16">
      <w:pPr>
        <w:pStyle w:val="14"/>
        <w:jc w:val="center"/>
        <w:rPr>
          <w:rFonts w:hint="eastAsia" w:ascii="方正小标宋_GBK" w:hAnsi="方正小标宋_GBK" w:eastAsia="方正小标宋_GBK" w:cs="方正小标宋_GBK"/>
          <w:sz w:val="56"/>
          <w:szCs w:val="56"/>
        </w:rPr>
      </w:pPr>
    </w:p>
    <w:p w14:paraId="72C8FB58">
      <w:pPr>
        <w:pStyle w:val="14"/>
        <w:jc w:val="center"/>
        <w:rPr>
          <w:sz w:val="56"/>
          <w:szCs w:val="56"/>
        </w:rPr>
      </w:pPr>
    </w:p>
    <w:p w14:paraId="25018D25">
      <w:pPr>
        <w:pStyle w:val="14"/>
        <w:jc w:val="center"/>
        <w:rPr>
          <w:sz w:val="56"/>
          <w:szCs w:val="56"/>
        </w:rPr>
      </w:pP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311DFC7">
      <w:pPr>
        <w:pStyle w:val="14"/>
        <w:jc w:val="center"/>
        <w:rPr>
          <w:sz w:val="32"/>
          <w:szCs w:val="32"/>
        </w:rPr>
      </w:pPr>
    </w:p>
    <w:p w14:paraId="50228290">
      <w:pPr>
        <w:pStyle w:val="14"/>
        <w:spacing w:line="540" w:lineRule="exact"/>
        <w:jc w:val="center"/>
        <w:rPr>
          <w:sz w:val="56"/>
          <w:szCs w:val="56"/>
        </w:rPr>
      </w:pPr>
    </w:p>
    <w:p w14:paraId="459C483D">
      <w:pPr>
        <w:pStyle w:val="14"/>
        <w:spacing w:line="500" w:lineRule="exact"/>
        <w:jc w:val="both"/>
        <w:rPr>
          <w:b/>
          <w:sz w:val="36"/>
          <w:szCs w:val="28"/>
        </w:rPr>
      </w:pP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hAnsi="黑体" w:cs="黑体"/>
          <w:b w:val="0"/>
          <w:bCs/>
          <w:sz w:val="28"/>
          <w:szCs w:val="28"/>
          <w:lang w:val="en-US" w:eastAsia="zh-CN"/>
        </w:rPr>
        <w:t>岳阳市医疗保障局</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4"/>
        <w:jc w:val="center"/>
        <w:rPr>
          <w:rFonts w:hint="eastAsia" w:ascii="方正小标宋_GBK" w:hAnsi="方正小标宋_GBK" w:eastAsia="方正小标宋_GBK" w:cs="方正小标宋_GBK"/>
          <w:sz w:val="84"/>
          <w:szCs w:val="84"/>
        </w:rPr>
      </w:pPr>
    </w:p>
    <w:p w14:paraId="39D66A16">
      <w:pPr>
        <w:pStyle w:val="14"/>
        <w:jc w:val="center"/>
        <w:rPr>
          <w:rFonts w:hint="eastAsia" w:ascii="方正小标宋_GBK" w:hAnsi="方正小标宋_GBK" w:eastAsia="方正小标宋_GBK" w:cs="方正小标宋_GBK"/>
          <w:sz w:val="84"/>
          <w:szCs w:val="84"/>
        </w:rPr>
      </w:pPr>
    </w:p>
    <w:p w14:paraId="3814B382">
      <w:pPr>
        <w:pStyle w:val="14"/>
        <w:jc w:val="center"/>
        <w:rPr>
          <w:rFonts w:hint="eastAsia" w:ascii="方正小标宋_GBK" w:hAnsi="方正小标宋_GBK" w:eastAsia="方正小标宋_GBK" w:cs="方正小标宋_GBK"/>
          <w:sz w:val="84"/>
          <w:szCs w:val="84"/>
        </w:rPr>
      </w:pPr>
    </w:p>
    <w:p w14:paraId="51EE17F7">
      <w:pPr>
        <w:pStyle w:val="14"/>
        <w:jc w:val="center"/>
        <w:rPr>
          <w:rFonts w:hint="eastAsia" w:ascii="方正小标宋_GBK" w:hAnsi="方正小标宋_GBK" w:eastAsia="方正小标宋_GBK" w:cs="方正小标宋_GBK"/>
          <w:sz w:val="84"/>
          <w:szCs w:val="84"/>
        </w:rPr>
      </w:pPr>
    </w:p>
    <w:p w14:paraId="1D0F9B0A">
      <w:pPr>
        <w:pStyle w:val="14"/>
        <w:jc w:val="center"/>
        <w:rPr>
          <w:rFonts w:hint="eastAsia" w:ascii="方正小标宋_GBK" w:hAnsi="方正小标宋_GBK" w:eastAsia="方正小标宋_GBK" w:cs="方正小标宋_GBK"/>
          <w:sz w:val="84"/>
          <w:szCs w:val="84"/>
        </w:rPr>
      </w:pPr>
    </w:p>
    <w:p w14:paraId="3AC3E072">
      <w:pPr>
        <w:pStyle w:val="14"/>
        <w:jc w:val="center"/>
        <w:rPr>
          <w:rFonts w:hint="eastAsia" w:ascii="方正小标宋_GBK" w:hAnsi="方正小标宋_GBK" w:eastAsia="方正小标宋_GBK" w:cs="方正小标宋_GBK"/>
          <w:sz w:val="84"/>
          <w:szCs w:val="84"/>
        </w:rPr>
      </w:pPr>
    </w:p>
    <w:p w14:paraId="0FD61A5F">
      <w:pPr>
        <w:pStyle w:val="14"/>
        <w:jc w:val="center"/>
        <w:rPr>
          <w:rFonts w:hint="eastAsia" w:ascii="方正小标宋_GBK" w:hAnsi="方正小标宋_GBK" w:eastAsia="方正小标宋_GBK" w:cs="方正小标宋_GBK"/>
          <w:sz w:val="84"/>
          <w:szCs w:val="84"/>
        </w:rPr>
      </w:pPr>
    </w:p>
    <w:p w14:paraId="724DF3F1">
      <w:pPr>
        <w:pStyle w:val="14"/>
        <w:jc w:val="center"/>
        <w:rPr>
          <w:rFonts w:hint="eastAsia" w:ascii="方正小标宋_GBK" w:hAnsi="方正小标宋_GBK" w:eastAsia="方正小标宋_GBK" w:cs="方正小标宋_GBK"/>
          <w:sz w:val="84"/>
          <w:szCs w:val="84"/>
        </w:rPr>
      </w:pPr>
    </w:p>
    <w:p w14:paraId="218413AC">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15D22380">
      <w:pPr>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val="en-US" w:eastAsia="zh-CN"/>
        </w:rPr>
        <w:t>岳阳市医疗保障局</w:t>
      </w: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14:paraId="77A0C778">
      <w:pPr>
        <w:pStyle w:val="8"/>
        <w:rPr>
          <w:rFonts w:hint="eastAsia" w:ascii="方正小标宋_GBK" w:hAnsi="方正小标宋_GBK" w:eastAsia="方正小标宋_GBK" w:cs="方正小标宋_GBK"/>
          <w:sz w:val="84"/>
          <w:szCs w:val="84"/>
        </w:rPr>
      </w:pPr>
    </w:p>
    <w:p w14:paraId="1469560B">
      <w:pPr>
        <w:pStyle w:val="5"/>
        <w:ind w:left="0" w:leftChars="0" w:firstLine="0" w:firstLineChars="0"/>
        <w:rPr>
          <w:rFonts w:hint="eastAsia" w:ascii="方正小标宋_GBK" w:hAnsi="方正小标宋_GBK" w:eastAsia="方正小标宋_GBK" w:cs="方正小标宋_GBK"/>
          <w:sz w:val="84"/>
          <w:szCs w:val="84"/>
        </w:rPr>
      </w:pPr>
    </w:p>
    <w:p w14:paraId="066ED7C8">
      <w:pPr>
        <w:rPr>
          <w:rFonts w:hint="eastAsia" w:ascii="方正小标宋_GBK" w:hAnsi="方正小标宋_GBK" w:eastAsia="方正小标宋_GBK" w:cs="方正小标宋_GBK"/>
          <w:sz w:val="84"/>
          <w:szCs w:val="84"/>
        </w:rPr>
      </w:pPr>
    </w:p>
    <w:p w14:paraId="16D8DBE0">
      <w:pPr>
        <w:rPr>
          <w:rFonts w:hint="eastAsia" w:ascii="方正小标宋_GBK" w:hAnsi="方正小标宋_GBK" w:eastAsia="方正小标宋_GBK" w:cs="方正小标宋_GBK"/>
          <w:sz w:val="84"/>
          <w:szCs w:val="84"/>
        </w:rPr>
      </w:pPr>
    </w:p>
    <w:p w14:paraId="30FA3B9F">
      <w:pPr>
        <w:pStyle w:val="2"/>
        <w:rPr>
          <w:rFonts w:hint="eastAsia"/>
        </w:rPr>
      </w:pPr>
    </w:p>
    <w:p w14:paraId="1384F574">
      <w:pPr>
        <w:pStyle w:val="8"/>
        <w:rPr>
          <w:rFonts w:hint="eastAsia"/>
        </w:rPr>
      </w:pPr>
    </w:p>
    <w:p w14:paraId="55E857AF">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119A60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（一）拟订全市社会医疗保险、生育保险、医疗救助等医疗保障制度及相关社会职能的政策、规划、标准并组织实施。</w:t>
      </w:r>
    </w:p>
    <w:p w14:paraId="2A0779A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（二）组织制定并实施全市医疗保障基金监督管理办法，监督管理各项医疗保障基金,建立健全医疗保障基金安全防控机制，推进医疗保障基金支付方式改革。</w:t>
      </w:r>
    </w:p>
    <w:p w14:paraId="7834CA0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（三）组织制定全市医疗保障筹资和待遇政策，完善动态调整和区域调剂平衡机制，统筹城乡医疗保障待遇标准，建立健全与筹资水平相适应的待遇调整机制，组织拟订并实施长期护理保险制度改革方案。</w:t>
      </w:r>
    </w:p>
    <w:p w14:paraId="13E0D73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（四）执行全省城乡统一的药品、医用耗材、医疗服务项目、医疗服务设施等医保目录和支付标准。</w:t>
      </w:r>
    </w:p>
    <w:p w14:paraId="299A534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五）根据上级部门药品、医用耗材价格和医疗服务项目、医疗服务设施收费等政策，建立合理的医保支付医药服务价格和确定动态调整机制，推动建立市场主导的社会医药服务价格形成机制，建立价格信息监测和信息发布制度。</w:t>
      </w:r>
    </w:p>
    <w:p w14:paraId="4759633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（六）执行国家和省药品、医用耗材的招标采购政策并监督实施。</w:t>
      </w:r>
    </w:p>
    <w:p w14:paraId="239E949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（七）制定全市定点医药机构协议和支付管理办法并组织实施，建立健全医疗保障信用评价体系和信息披露制度，监督管理纳入医保范围内的医疗服务行为和医疗费用，依法查处医疗保障领域违法违规行为。</w:t>
      </w:r>
    </w:p>
    <w:p w14:paraId="2D00351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八）负责全市医疗保障经办管理、公共服务体系和信息化建设。指导和监督全市医疗保险、生育保险、医疗救助等医疗保障经办业务工作。组织制定和完善异地就医管理和费用结算政策。建立健全医疗保障关系转移接续制度。</w:t>
      </w:r>
    </w:p>
    <w:p w14:paraId="42C7947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（九）执行国家和省城乡医疗救助和医保扶贫政策，负责全市医疗救助和医保扶贫政策的制定、监督、实施工作。</w:t>
      </w:r>
    </w:p>
    <w:p w14:paraId="12239C4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（十）完成国家、省医疗保障局和市委、市政府交办的其他任务。</w:t>
      </w:r>
    </w:p>
    <w:p w14:paraId="4DFA79B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十一）职能转变。按照党中央、国务院关于转变政府职能、深化放管服改革，深入推进审批服务便民化的决策部署，组织推进本部门转变政府职能。完善全市统一的城乡居民基本医疗保险制度和大病保险制度，巩固完善城乡居民医疗救助制度。建立健全覆盖全民、城乡统筹的多层次保障体系。不断提高医疗保障水平，确保医保资金合理使用、安全可控。按照职责分工推进医疗、医保、医药“三医联动”改革，更好地保障人民群众就医需求、减轻医药费用负担。</w:t>
      </w:r>
    </w:p>
    <w:p w14:paraId="79F9145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 w:lineRule="atLeast"/>
        <w:ind w:left="0" w:right="0" w:firstLine="42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（十二）与市卫健委的有关职责分工。市卫健委、市医保局等部门在医疗、医保、医药等方面加强制度、政策衔接，建立沟通协商机制，协同推进改革，提高医疗资源使用效率和医疗保障水平。</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2E2D380">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zh-CN"/>
        </w:rPr>
        <w:t>岳阳市医疗保障局（</w:t>
      </w:r>
      <w:r>
        <w:rPr>
          <w:rFonts w:hint="eastAsia" w:ascii="Times New Roman" w:hAnsi="Times New Roman" w:eastAsia="仿宋_GB2312" w:cs="仿宋_GB2312"/>
          <w:bCs/>
          <w:kern w:val="0"/>
          <w:sz w:val="32"/>
          <w:szCs w:val="32"/>
          <w:lang w:val="en-US" w:eastAsia="zh-CN"/>
        </w:rPr>
        <w:t>以下简称我单位</w:t>
      </w:r>
      <w:r>
        <w:rPr>
          <w:rFonts w:hint="eastAsia" w:ascii="Times New Roman" w:hAnsi="Times New Roman" w:eastAsia="仿宋_GB2312" w:cs="仿宋_GB2312"/>
          <w:bCs/>
          <w:kern w:val="0"/>
          <w:sz w:val="32"/>
          <w:szCs w:val="32"/>
          <w:lang w:val="zh-CN"/>
        </w:rPr>
        <w:t>）内设机构包括：</w:t>
      </w:r>
      <w:r>
        <w:rPr>
          <w:rFonts w:hint="eastAsia" w:ascii="Times New Roman" w:hAnsi="Times New Roman" w:eastAsia="仿宋_GB2312" w:cs="仿宋_GB2312"/>
          <w:bCs/>
          <w:kern w:val="0"/>
          <w:sz w:val="32"/>
          <w:szCs w:val="32"/>
        </w:rPr>
        <w:t>办公室、待遇保障科、医药服务管理科、基金监管科、规划财务和法规科、</w:t>
      </w:r>
      <w:r>
        <w:rPr>
          <w:rFonts w:hint="eastAsia" w:ascii="Times New Roman" w:hAnsi="Times New Roman" w:eastAsia="仿宋_GB2312" w:cs="仿宋_GB2312"/>
          <w:bCs/>
          <w:kern w:val="0"/>
          <w:sz w:val="32"/>
          <w:szCs w:val="32"/>
          <w:lang w:val="en-US" w:eastAsia="zh-CN"/>
        </w:rPr>
        <w:t>医药价格和招标采购科、</w:t>
      </w:r>
      <w:r>
        <w:rPr>
          <w:rFonts w:hint="eastAsia" w:ascii="Times New Roman" w:hAnsi="Times New Roman" w:eastAsia="仿宋_GB2312" w:cs="仿宋_GB2312"/>
          <w:bCs/>
          <w:kern w:val="0"/>
          <w:sz w:val="32"/>
          <w:szCs w:val="32"/>
        </w:rPr>
        <w:t>机关党委（人事科）。</w:t>
      </w:r>
    </w:p>
    <w:p w14:paraId="59F9ABDB">
      <w:pPr>
        <w:widowControl/>
        <w:spacing w:line="600" w:lineRule="exact"/>
        <w:ind w:firstLine="630" w:firstLineChars="300"/>
        <w:rPr>
          <w:rFonts w:hint="eastAsia"/>
        </w:rPr>
      </w:pPr>
    </w:p>
    <w:p w14:paraId="51B64EF6">
      <w:pPr>
        <w:widowControl/>
        <w:numPr>
          <w:ilvl w:val="0"/>
          <w:numId w:val="2"/>
        </w:numPr>
        <w:spacing w:line="600" w:lineRule="exact"/>
        <w:rPr>
          <w:rFonts w:hint="eastAsia"/>
        </w:rPr>
      </w:pPr>
      <w:r>
        <w:rPr>
          <w:rFonts w:hint="eastAsia" w:ascii="Times New Roman" w:hAnsi="Times New Roman" w:eastAsia="仿宋_GB2312" w:cs="仿宋_GB2312"/>
          <w:bCs/>
          <w:kern w:val="0"/>
          <w:sz w:val="32"/>
          <w:szCs w:val="32"/>
        </w:rPr>
        <w:t>决算单位构成。</w:t>
      </w:r>
      <w:r>
        <w:rPr>
          <w:rFonts w:hint="eastAsia" w:ascii="Times New Roman" w:hAnsi="Times New Roman" w:eastAsia="仿宋_GB2312" w:cs="仿宋_GB2312"/>
          <w:bCs/>
          <w:kern w:val="0"/>
          <w:sz w:val="32"/>
          <w:szCs w:val="32"/>
          <w:lang w:val="en-US" w:eastAsia="zh-CN"/>
        </w:rPr>
        <w:t>我</w:t>
      </w:r>
      <w:r>
        <w:rPr>
          <w:rFonts w:hint="eastAsia" w:ascii="Times New Roman" w:hAnsi="Times New Roman" w:eastAsia="仿宋_GB2312" w:cs="仿宋_GB2312"/>
          <w:bCs/>
          <w:kern w:val="0"/>
          <w:sz w:val="32"/>
          <w:szCs w:val="32"/>
          <w:lang w:val="zh-CN"/>
        </w:rPr>
        <w:t>单位</w:t>
      </w:r>
      <w:r>
        <w:rPr>
          <w:rFonts w:hint="eastAsia" w:ascii="Times New Roman" w:hAnsi="Times New Roman" w:eastAsia="仿宋_GB2312" w:cs="仿宋_GB2312"/>
          <w:bCs/>
          <w:kern w:val="0"/>
          <w:sz w:val="32"/>
          <w:szCs w:val="32"/>
          <w:lang w:val="en-US" w:eastAsia="zh-CN"/>
        </w:rPr>
        <w:t>2024</w:t>
      </w:r>
      <w:r>
        <w:rPr>
          <w:rFonts w:hint="eastAsia" w:ascii="Times New Roman" w:hAnsi="Times New Roman" w:eastAsia="仿宋_GB2312" w:cs="仿宋_GB2312"/>
          <w:bCs/>
          <w:kern w:val="0"/>
          <w:sz w:val="32"/>
          <w:szCs w:val="32"/>
          <w:lang w:val="zh-CN"/>
        </w:rPr>
        <w:t>年部门决算汇总公开单位构成</w:t>
      </w:r>
      <w:r>
        <w:rPr>
          <w:rFonts w:hint="eastAsia" w:ascii="Times New Roman" w:hAnsi="Times New Roman" w:eastAsia="仿宋_GB2312" w:cs="仿宋_GB2312"/>
          <w:bCs/>
          <w:kern w:val="0"/>
          <w:sz w:val="32"/>
          <w:szCs w:val="32"/>
          <w:lang w:val="en-US" w:eastAsia="zh-CN"/>
        </w:rPr>
        <w:t>仅</w:t>
      </w:r>
      <w:r>
        <w:rPr>
          <w:rFonts w:hint="eastAsia" w:ascii="Times New Roman" w:hAnsi="Times New Roman" w:eastAsia="仿宋_GB2312" w:cs="仿宋_GB2312"/>
          <w:bCs/>
          <w:kern w:val="0"/>
          <w:sz w:val="32"/>
          <w:szCs w:val="32"/>
          <w:lang w:val="zh-CN"/>
        </w:rPr>
        <w:t>包括</w:t>
      </w:r>
      <w:r>
        <w:rPr>
          <w:rFonts w:hint="eastAsia" w:ascii="Times New Roman" w:hAnsi="Times New Roman" w:eastAsia="仿宋_GB2312" w:cs="仿宋_GB2312"/>
          <w:bCs/>
          <w:kern w:val="0"/>
          <w:sz w:val="32"/>
          <w:szCs w:val="32"/>
        </w:rPr>
        <w:t>局机关本级决算。</w:t>
      </w:r>
      <w:r>
        <w:rPr>
          <w:rFonts w:hint="eastAsia" w:ascii="Times New Roman" w:hAnsi="Times New Roman" w:eastAsia="仿宋_GB2312" w:cs="仿宋_GB2312"/>
          <w:bCs/>
          <w:kern w:val="0"/>
          <w:sz w:val="32"/>
          <w:szCs w:val="32"/>
          <w:lang w:val="en-US" w:eastAsia="zh-CN"/>
        </w:rPr>
        <w:t>我单位下属三个直属机构：岳阳市医疗保障事务中心、岳阳市医疗保障稽核中心、岳阳市医疗保障安全监管服务中心，均未独立核算，收支数据均包含在局机关本级决算中。</w:t>
      </w:r>
    </w:p>
    <w:p w14:paraId="38F8B787">
      <w:pPr>
        <w:jc w:val="left"/>
        <w:rPr>
          <w:rFonts w:ascii="仿宋_GB2312" w:eastAsia="仿宋_GB2312" w:hAnsiTheme="minorEastAsia"/>
          <w:sz w:val="28"/>
          <w:szCs w:val="32"/>
        </w:rPr>
      </w:pPr>
    </w:p>
    <w:p w14:paraId="38152785"/>
    <w:p w14:paraId="3CE56614">
      <w:pPr>
        <w:pStyle w:val="8"/>
      </w:pPr>
    </w:p>
    <w:p w14:paraId="70B4D569">
      <w:pPr>
        <w:pStyle w:val="5"/>
      </w:pPr>
    </w:p>
    <w:p w14:paraId="5B1D6CBC"/>
    <w:p w14:paraId="7D6C31E4">
      <w:pPr>
        <w:pStyle w:val="8"/>
      </w:pPr>
    </w:p>
    <w:p w14:paraId="056E4ECA">
      <w:pPr>
        <w:pStyle w:val="5"/>
      </w:pPr>
    </w:p>
    <w:p w14:paraId="3288C9C5"/>
    <w:p w14:paraId="2B49F2B7">
      <w:pPr>
        <w:pStyle w:val="14"/>
        <w:jc w:val="both"/>
        <w:rPr>
          <w:rFonts w:hint="eastAsia" w:ascii="方正小标宋_GBK" w:hAnsi="方正小标宋_GBK" w:eastAsia="方正小标宋_GBK" w:cs="方正小标宋_GBK"/>
          <w:sz w:val="84"/>
          <w:szCs w:val="84"/>
        </w:rPr>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6EEAB3EF">
      <w:pPr>
        <w:pStyle w:val="14"/>
        <w:jc w:val="center"/>
        <w:rPr>
          <w:rFonts w:hint="eastAsia" w:ascii="仿宋_GB2312" w:hAnsi="仿宋_GB2312" w:eastAsia="仿宋_GB2312" w:cs="仿宋_GB2312"/>
          <w:b w:val="0"/>
          <w:bCs w:val="0"/>
          <w:sz w:val="72"/>
          <w:szCs w:val="72"/>
          <w:lang w:eastAsia="zh-CN"/>
        </w:rPr>
      </w:pPr>
    </w:p>
    <w:p w14:paraId="603C04A7">
      <w:pPr>
        <w:pStyle w:val="14"/>
        <w:jc w:val="center"/>
        <w:rPr>
          <w:rFonts w:hint="eastAsia" w:ascii="方正小标宋_GBK" w:hAnsi="方正小标宋_GBK" w:eastAsia="方正小标宋_GBK" w:cs="方正小标宋_GBK"/>
          <w:sz w:val="72"/>
          <w:szCs w:val="72"/>
        </w:rPr>
      </w:pPr>
    </w:p>
    <w:p w14:paraId="06211665">
      <w:pPr>
        <w:pStyle w:val="14"/>
        <w:jc w:val="both"/>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EEFD640">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4D6F90EC">
      <w:pPr>
        <w:pStyle w:val="14"/>
        <w:jc w:val="center"/>
        <w:rPr>
          <w:rFonts w:hint="eastAsia" w:ascii="方正小标宋_GBK" w:hAnsi="方正小标宋_GBK" w:eastAsia="方正小标宋_GBK" w:cs="方正小标宋_GBK"/>
          <w:sz w:val="70"/>
          <w:szCs w:val="70"/>
        </w:rPr>
      </w:pPr>
    </w:p>
    <w:p w14:paraId="5DCF30C1">
      <w:pPr>
        <w:pStyle w:val="14"/>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百分比”。</w:t>
      </w:r>
      <w:r>
        <w:rPr>
          <w:rFonts w:hint="eastAsia" w:ascii="仿宋_GB2312" w:hAnsi="仿宋_GB2312" w:eastAsia="仿宋_GB2312" w:cs="仿宋_GB2312"/>
          <w:sz w:val="32"/>
          <w:szCs w:val="32"/>
        </w:rPr>
        <w:t>）</w:t>
      </w:r>
    </w:p>
    <w:p w14:paraId="03373D8A">
      <w:pPr>
        <w:pStyle w:val="2"/>
        <w:rPr>
          <w:rFonts w:hint="eastAsia" w:ascii="仿宋_GB2312" w:hAnsi="仿宋_GB2312" w:eastAsia="仿宋_GB2312" w:cs="仿宋_GB2312"/>
          <w:sz w:val="32"/>
          <w:szCs w:val="32"/>
        </w:rPr>
      </w:pPr>
    </w:p>
    <w:p w14:paraId="7111F543">
      <w:pPr>
        <w:pStyle w:val="3"/>
        <w:rPr>
          <w:rFonts w:hint="eastAsia" w:ascii="仿宋_GB2312" w:hAnsi="仿宋_GB2312" w:eastAsia="仿宋_GB2312" w:cs="仿宋_GB2312"/>
          <w:sz w:val="32"/>
          <w:szCs w:val="32"/>
        </w:rPr>
      </w:pPr>
    </w:p>
    <w:p w14:paraId="538676B5">
      <w:pPr>
        <w:rPr>
          <w:rFonts w:hint="eastAsia" w:ascii="仿宋_GB2312" w:hAnsi="仿宋_GB2312" w:eastAsia="仿宋_GB2312" w:cs="仿宋_GB2312"/>
          <w:sz w:val="32"/>
          <w:szCs w:val="32"/>
        </w:rPr>
      </w:pPr>
    </w:p>
    <w:p w14:paraId="563FEB26">
      <w:pPr>
        <w:pStyle w:val="2"/>
        <w:rPr>
          <w:rFonts w:hint="eastAsia" w:ascii="仿宋_GB2312" w:hAnsi="仿宋_GB2312" w:eastAsia="仿宋_GB2312" w:cs="仿宋_GB2312"/>
          <w:sz w:val="32"/>
          <w:szCs w:val="32"/>
        </w:rPr>
      </w:pPr>
    </w:p>
    <w:p w14:paraId="06C74150">
      <w:pPr>
        <w:pStyle w:val="3"/>
        <w:rPr>
          <w:rFonts w:hint="eastAsia" w:ascii="仿宋_GB2312" w:hAnsi="仿宋_GB2312" w:eastAsia="仿宋_GB2312" w:cs="仿宋_GB2312"/>
          <w:sz w:val="32"/>
          <w:szCs w:val="32"/>
        </w:rPr>
      </w:pPr>
    </w:p>
    <w:p w14:paraId="0D312D14">
      <w:pPr>
        <w:pStyle w:val="2"/>
        <w:rPr>
          <w:rFonts w:hint="eastAsia" w:ascii="仿宋_GB2312" w:hAnsi="仿宋_GB2312" w:eastAsia="仿宋_GB2312" w:cs="仿宋_GB2312"/>
          <w:sz w:val="32"/>
          <w:szCs w:val="32"/>
        </w:rPr>
      </w:pPr>
    </w:p>
    <w:p w14:paraId="0A9FC4C9">
      <w:pPr>
        <w:pStyle w:val="3"/>
        <w:rPr>
          <w:rFonts w:hint="eastAsia"/>
        </w:rPr>
      </w:pP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2365.27</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5.37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新进人员增加。</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2358.67</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2317.43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98.25</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41.24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1.75</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2324.04</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1798.08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77.37</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525.96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22.63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4"/>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2317.43</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53.84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2.38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新进人员增加。</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2317.43</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96.03</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53.84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2.38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新进人员增加。</w:t>
      </w:r>
    </w:p>
    <w:p w14:paraId="66C54C8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7D95CF2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FF0000"/>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2317.43</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color w:val="auto"/>
          <w:kern w:val="2"/>
          <w:sz w:val="32"/>
          <w:szCs w:val="32"/>
          <w:lang w:val="en-US" w:eastAsia="zh-CN" w:bidi="ar-SA"/>
        </w:rPr>
        <w:t>社会保障和就业（类）支出183.06万元，占7.9%；卫生健康（类）支出2029.57万元，占87.58%；住房保障（类）支出104.8万元，占4.52%。</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1854</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2317.43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%，其中：</w:t>
      </w:r>
    </w:p>
    <w:p w14:paraId="26AF15F3">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1、社会保障和就业支出（类）行政事业单位养老支出（款）机关事业单位基本养老保险缴费支出（项）。</w:t>
      </w:r>
    </w:p>
    <w:p w14:paraId="56EFF5B0">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仿宋_GB2312" w:hAnsi="仿宋_GB2312" w:eastAsia="仿宋_GB2312"/>
          <w:sz w:val="32"/>
          <w:lang w:val="en-US" w:eastAsia="zh-CN" w:bidi="ar-SA"/>
        </w:rPr>
      </w:pPr>
      <w:r>
        <w:rPr>
          <w:rFonts w:hint="eastAsia" w:ascii="Times New Roman" w:hAnsi="Times New Roman" w:eastAsia="仿宋_GB2312" w:cs="黑体"/>
          <w:color w:val="000000"/>
          <w:kern w:val="0"/>
          <w:sz w:val="32"/>
          <w:szCs w:val="32"/>
          <w:lang w:val="en-US" w:eastAsia="zh-CN" w:bidi="ar-SA"/>
        </w:rPr>
        <w:t>年初预算为145.35万元，支出决算为144.45万元，完成年初预算的99.38%，</w:t>
      </w:r>
      <w:r>
        <w:rPr>
          <w:rFonts w:hint="eastAsia" w:ascii="仿宋_GB2312" w:hAnsi="仿宋_GB2312" w:eastAsia="仿宋_GB2312"/>
          <w:sz w:val="32"/>
          <w:lang w:val="en-US" w:eastAsia="zh-CN" w:bidi="ar-SA"/>
        </w:rPr>
        <w:t>决算数小年初预算数的主要原因是：有一人退休。</w:t>
      </w:r>
    </w:p>
    <w:p w14:paraId="71E2D785">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2、社会保障和就业支出（类）残疾人事业（款）其他残疾人事业支出（项）。</w:t>
      </w:r>
    </w:p>
    <w:p w14:paraId="3D07D62F">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default" w:ascii="仿宋_GB2312" w:hAnsi="仿宋_GB2312" w:eastAsia="仿宋_GB2312"/>
          <w:sz w:val="32"/>
          <w:lang w:val="en-US" w:eastAsia="zh-CN" w:bidi="ar-SA"/>
        </w:rPr>
      </w:pPr>
      <w:r>
        <w:rPr>
          <w:rFonts w:hint="eastAsia" w:ascii="Times New Roman" w:hAnsi="Times New Roman" w:eastAsia="仿宋_GB2312" w:cs="黑体"/>
          <w:color w:val="000000"/>
          <w:kern w:val="0"/>
          <w:sz w:val="32"/>
          <w:szCs w:val="32"/>
          <w:lang w:val="en-US" w:eastAsia="zh-CN" w:bidi="ar-SA"/>
        </w:rPr>
        <w:t>年初预算为11.11万元，支出决算为11.11万元，完成年初预算的100%，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我单位严格按预算执行决算</w:t>
      </w:r>
      <w:r>
        <w:rPr>
          <w:rFonts w:hint="eastAsia" w:ascii="仿宋_GB2312" w:hAnsi="仿宋_GB2312" w:eastAsia="仿宋_GB2312"/>
          <w:sz w:val="32"/>
          <w:lang w:val="en-US" w:eastAsia="zh-CN" w:bidi="ar-SA"/>
        </w:rPr>
        <w:t>。</w:t>
      </w:r>
    </w:p>
    <w:p w14:paraId="333220D8">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3、社会保障和就业支出（类）其他社会保障和就业支出（款）其他社会保障和就业支出（项）。</w:t>
      </w:r>
    </w:p>
    <w:p w14:paraId="1AA4E279">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年初预算为27.5万元，支出决算为27.5万元，完成年初预算的100%，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我单位严格按预算执行决算</w:t>
      </w:r>
      <w:r>
        <w:rPr>
          <w:rFonts w:hint="eastAsia" w:ascii="仿宋_GB2312" w:hAnsi="仿宋_GB2312" w:eastAsia="仿宋_GB2312"/>
          <w:sz w:val="32"/>
          <w:lang w:val="en-US" w:eastAsia="zh-CN" w:bidi="ar-SA"/>
        </w:rPr>
        <w:t>。</w:t>
      </w:r>
      <w:r>
        <w:rPr>
          <w:rFonts w:hint="eastAsia" w:ascii="Times New Roman" w:hAnsi="Times New Roman" w:eastAsia="仿宋_GB2312" w:cs="黑体"/>
          <w:color w:val="000000"/>
          <w:kern w:val="0"/>
          <w:sz w:val="32"/>
          <w:szCs w:val="32"/>
          <w:lang w:val="en-US" w:eastAsia="zh-CN" w:bidi="ar-SA"/>
        </w:rPr>
        <w:t xml:space="preserve"> </w:t>
      </w:r>
    </w:p>
    <w:p w14:paraId="67BFC366">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4、卫生健康支出（类）行政事业单位医疗（款）行政单位医疗（项）。年初预算为55.46万元，支出决算为54.65万元，完成年初预算的98.53%，决算数小于预算数的原因是有退休人员停止了缴纳医疗保险。</w:t>
      </w:r>
    </w:p>
    <w:p w14:paraId="6389732D">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5、卫生健康支出（类）行政事业单位医疗（款）公务员医疗补助（项）。  年初预算为18.31万元，支出决算为0万元，完成年初预算的0%，决算数小于预算数的原因是此预算未下达至单位。</w:t>
      </w:r>
    </w:p>
    <w:p w14:paraId="05F26116">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6、卫生健康支出（类）医疗保障管理事务（款）行政运行（项）。</w:t>
      </w:r>
    </w:p>
    <w:p w14:paraId="005C4C18">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default"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年初预算为1491.45万元，支出决算为1659.49万元，完成年初预算的111.27%，决算数大于预算数的主要原因是部分绩效奖金未纳入年初预算。</w:t>
      </w:r>
    </w:p>
    <w:p w14:paraId="68789102">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 xml:space="preserve">7、卫生健康支出（类）医疗保障管理事务（款）医疗保障政策管理（项）。  </w:t>
      </w:r>
    </w:p>
    <w:p w14:paraId="0A2CC698">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年初预算为0万元，支出决算为244.4万元，决算数大于预算数的主要原因是此项目为省财政厅下达医疗保障服务能力建设项目经费，未纳入年初预算。</w:t>
      </w:r>
    </w:p>
    <w:p w14:paraId="30758AE1">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8、卫生健康支出（类）医疗保障管理事务（款）其他医疗保障管理事务支出（项）。</w:t>
      </w:r>
    </w:p>
    <w:p w14:paraId="0B082FC1">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年初预算为0万元，支出决算为68.03万元，决算数大于预算数的主要原因是医保市级统筹奖补资金、2022年度争资争项考核奖励资金未纳入年初预算。</w:t>
      </w:r>
    </w:p>
    <w:p w14:paraId="2D2A3781">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9、住房保障支出（类）住房改革支出（款）住房公积金（项）。</w:t>
      </w:r>
    </w:p>
    <w:p w14:paraId="2BBFC59D">
      <w:pPr>
        <w:pStyle w:val="14"/>
        <w:keepNext w:val="0"/>
        <w:keepLines w:val="0"/>
        <w:pageBreakBefore w:val="0"/>
        <w:widowControl w:val="0"/>
        <w:numPr>
          <w:ilvl w:val="0"/>
          <w:numId w:val="0"/>
        </w:numPr>
        <w:kinsoku/>
        <w:wordWrap/>
        <w:overflowPunct/>
        <w:topLinePunct w:val="0"/>
        <w:bidi w:val="0"/>
        <w:snapToGrid/>
        <w:spacing w:line="600" w:lineRule="exact"/>
        <w:ind w:left="840" w:leftChars="0"/>
        <w:textAlignment w:val="auto"/>
        <w:rPr>
          <w:rFonts w:hint="eastAsia" w:ascii="仿宋_GB2312" w:hAnsi="仿宋_GB2312" w:eastAsia="仿宋_GB2312" w:cs="仿宋_GB2312"/>
          <w:sz w:val="32"/>
          <w:szCs w:val="32"/>
        </w:rPr>
      </w:pPr>
      <w:r>
        <w:rPr>
          <w:rFonts w:hint="eastAsia" w:ascii="Times New Roman" w:hAnsi="Times New Roman" w:eastAsia="仿宋_GB2312" w:cs="黑体"/>
          <w:color w:val="000000"/>
          <w:kern w:val="0"/>
          <w:sz w:val="32"/>
          <w:szCs w:val="32"/>
          <w:lang w:val="en-US" w:eastAsia="zh-CN" w:bidi="ar-SA"/>
        </w:rPr>
        <w:t>年初预算为104.8万元，支出决算为104.8万元，完成年初预算的100%，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我单位严格按预算执行决算</w:t>
      </w:r>
      <w:r>
        <w:rPr>
          <w:rFonts w:hint="eastAsia" w:ascii="仿宋_GB2312" w:hAnsi="仿宋_GB2312" w:eastAsia="仿宋_GB2312"/>
          <w:sz w:val="32"/>
          <w:lang w:val="en-US" w:eastAsia="zh-CN" w:bidi="ar-SA"/>
        </w:rPr>
        <w:t>。</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1791.47</w:t>
      </w:r>
      <w:r>
        <w:rPr>
          <w:rFonts w:hint="eastAsia" w:ascii="仿宋_GB2312" w:hAnsi="仿宋_GB2312" w:eastAsia="仿宋_GB2312" w:cs="仿宋_GB2312"/>
          <w:sz w:val="32"/>
          <w:szCs w:val="32"/>
        </w:rPr>
        <w:t>万元，其中：</w:t>
      </w:r>
    </w:p>
    <w:p w14:paraId="195AD15B">
      <w:pPr>
        <w:pStyle w:val="14"/>
        <w:keepNext w:val="0"/>
        <w:keepLines w:val="0"/>
        <w:pageBreakBefore w:val="0"/>
        <w:widowControl w:val="0"/>
        <w:kinsoku/>
        <w:wordWrap/>
        <w:overflowPunct/>
        <w:topLinePunct w:val="0"/>
        <w:bidi w:val="0"/>
        <w:snapToGrid/>
        <w:spacing w:line="600" w:lineRule="exact"/>
        <w:ind w:firstLine="1280" w:firstLineChars="400"/>
        <w:textAlignment w:val="auto"/>
        <w:rPr>
          <w:rFonts w:hint="eastAsia"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1529.81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85.39</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主要包括基本工资、津贴补贴、</w:t>
      </w:r>
      <w:r>
        <w:rPr>
          <w:rFonts w:hint="eastAsia" w:ascii="Times New Roman" w:hAnsi="Times New Roman" w:eastAsia="仿宋_GB2312" w:cs="黑体"/>
          <w:color w:val="000000"/>
          <w:kern w:val="0"/>
          <w:sz w:val="32"/>
          <w:szCs w:val="32"/>
          <w:lang w:val="zh-CN" w:eastAsia="zh-CN" w:bidi="ar-SA"/>
        </w:rPr>
        <w:t>奖金、伙食补助费、绩效工资、机关事业单位基本养老保险缴费、职业年金缴费、职工基本医疗保险缴费、公务员医疗补助缴费、其他社会保障缴费、住房公积金、医疗费、其他工资福利支出、离休费、退休费、医疗费补助、奖励金、其他对个人和家庭的补助。</w:t>
      </w:r>
    </w:p>
    <w:p w14:paraId="3248C8B7">
      <w:pPr>
        <w:keepNext/>
        <w:keepLines/>
        <w:ind w:firstLine="643"/>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261.65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14.61</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zh-CN" w:eastAsia="zh-CN" w:bidi="ar-SA"/>
        </w:rPr>
        <w:t>主要包括</w:t>
      </w:r>
      <w:r>
        <w:rPr>
          <w:rFonts w:hint="eastAsia" w:ascii="Times New Roman" w:hAnsi="Times New Roman" w:eastAsia="仿宋_GB2312" w:cs="黑体"/>
          <w:color w:val="000000"/>
          <w:kern w:val="0"/>
          <w:sz w:val="32"/>
          <w:szCs w:val="32"/>
          <w:lang w:val="en-US" w:eastAsia="zh-CN" w:bidi="ar-SA"/>
        </w:rPr>
        <w:t>办公费、印刷费、水费、电费、邮电费、物业管理费、差旅费、因公出国（境）费用、维修（护）费、租赁费、会议费、培训费、公务接待费、劳务费、委托业务费、工会经费、福利费、公务用车运行维护费、其他交通费用、税金及附加费用、其他商品和服务支出、办公设备购置、专用设备购置、公务用车购置、其他交通工具购置、其他资本性支出。</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A689E5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Times New Roman" w:hAnsi="Times New Roman" w:eastAsia="仿宋_GB2312"/>
          <w:sz w:val="32"/>
          <w:szCs w:val="32"/>
          <w:lang w:val="en-US" w:eastAsia="zh-CN"/>
        </w:rPr>
        <w:t>2024年度国有资本经营预算财政拨款收入0万元；年初结转和结余0万；支出0万元，其中：基本支出0万元，项目支出0万元；年末结转和结余0万元。</w:t>
      </w: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4"/>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4.68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58.5</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1.27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7.45</w:t>
      </w:r>
      <w:r>
        <w:rPr>
          <w:rFonts w:ascii="Times New Roman" w:hAnsi="Times New Roman" w:eastAsia="仿宋_GB2312" w:cs="Times New Roman"/>
          <w:sz w:val="32"/>
          <w:szCs w:val="32"/>
        </w:rPr>
        <w:t>%。决算</w:t>
      </w:r>
      <w:r>
        <w:rPr>
          <w:rFonts w:hint="eastAsia" w:ascii="Times New Roman" w:hAnsi="Times New Roman" w:eastAsia="仿宋_GB2312" w:cs="Times New Roman"/>
          <w:sz w:val="32"/>
          <w:szCs w:val="32"/>
          <w:lang w:val="en-US" w:eastAsia="zh-CN"/>
        </w:rPr>
        <w:t>数</w:t>
      </w:r>
      <w:r>
        <w:rPr>
          <w:rFonts w:ascii="Times New Roman" w:hAnsi="Times New Roman" w:eastAsia="仿宋_GB2312" w:cs="Times New Roman"/>
          <w:sz w:val="32"/>
          <w:szCs w:val="32"/>
        </w:rPr>
        <w:t>小于预算数的主要原因是</w:t>
      </w:r>
      <w:r>
        <w:rPr>
          <w:rFonts w:hint="eastAsia" w:ascii="仿宋_GB2312" w:hAnsi="仿宋_GB2312" w:eastAsia="仿宋_GB2312" w:cs="仿宋_GB2312"/>
          <w:sz w:val="32"/>
          <w:szCs w:val="32"/>
          <w:lang w:val="en-US" w:eastAsia="zh-CN"/>
        </w:rPr>
        <w:t>厉行节约严控三公经费支出</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上年支付系统故障部分费用结转至本年支出。</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7C712017">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1.</w:t>
      </w:r>
      <w:r>
        <w:rPr>
          <w:rFonts w:hint="eastAsia" w:ascii="仿宋_GB2312" w:hAnsi="仿宋_GB2312" w:eastAsia="仿宋_GB2312" w:cs="仿宋_GB2312"/>
          <w:color w:val="000000"/>
          <w:kern w:val="0"/>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65978CAB">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2.61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1.32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102.32</w:t>
      </w:r>
      <w:r>
        <w:rPr>
          <w:rFonts w:ascii="Times New Roman" w:hAnsi="Times New Roman" w:eastAsia="仿宋_GB2312" w:cs="Times New Roman"/>
          <w:sz w:val="32"/>
          <w:szCs w:val="32"/>
        </w:rPr>
        <w:t>%。其中：</w:t>
      </w:r>
    </w:p>
    <w:p w14:paraId="3032C2AD">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2.61</w:t>
      </w:r>
      <w:r>
        <w:rPr>
          <w:rFonts w:ascii="Times New Roman" w:hAnsi="Times New Roman" w:eastAsia="仿宋_GB2312" w:cs="Times New Roman"/>
          <w:sz w:val="32"/>
          <w:szCs w:val="32"/>
        </w:rPr>
        <w:t>万元，</w:t>
      </w:r>
    </w:p>
    <w:p w14:paraId="75A272CE">
      <w:pPr>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楷体" w:cs="Times New Roman"/>
          <w:b/>
          <w:bCs/>
          <w:i/>
          <w:color w:val="FF0000"/>
          <w:sz w:val="32"/>
          <w:szCs w:val="32"/>
        </w:rPr>
      </w:pPr>
      <w:r>
        <w:rPr>
          <w:rFonts w:hint="eastAsia" w:ascii="仿宋_GB2312" w:hAnsi="仿宋_GB2312" w:eastAsia="仿宋_GB2312" w:cs="仿宋_GB2312"/>
          <w:sz w:val="32"/>
          <w:szCs w:val="32"/>
        </w:rPr>
        <w:t>主要是</w:t>
      </w:r>
      <w:r>
        <w:rPr>
          <w:rFonts w:hint="eastAsia" w:ascii="Times New Roman" w:hAnsi="Times New Roman" w:eastAsia="仿宋_GB2312" w:cs="黑体"/>
          <w:color w:val="000000"/>
          <w:kern w:val="0"/>
          <w:sz w:val="32"/>
          <w:szCs w:val="32"/>
          <w:lang w:val="en-US" w:eastAsia="zh-CN" w:bidi="ar-SA"/>
        </w:rPr>
        <w:t>按规定保留的公务用车的燃料费、维修费、过桥过路费、保险费等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87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1.32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102.32</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val="en-US" w:eastAsia="zh-CN"/>
        </w:rPr>
        <w:t>我单位严格按预算执行决算</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上年支付系统故障部分费用结转至本年支出</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039328F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b/>
          <w:color w:val="auto"/>
          <w:sz w:val="32"/>
          <w:szCs w:val="32"/>
          <w:lang w:eastAsia="zh-CN"/>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2.07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41.4</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0.05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2.4</w:t>
      </w:r>
      <w:r>
        <w:rPr>
          <w:rFonts w:ascii="Times New Roman" w:hAnsi="Times New Roman" w:eastAsia="仿宋_GB2312" w:cs="Times New Roman"/>
          <w:sz w:val="32"/>
          <w:szCs w:val="32"/>
        </w:rPr>
        <w:t>%。决算数小于预算数的主要原因</w:t>
      </w:r>
      <w:r>
        <w:rPr>
          <w:rFonts w:hint="eastAsia" w:ascii="Times New Roman" w:hAnsi="Times New Roman" w:eastAsia="仿宋_GB2312" w:cs="Times New Roman"/>
          <w:sz w:val="32"/>
          <w:szCs w:val="32"/>
          <w:lang w:val="en-US" w:eastAsia="zh-CN"/>
        </w:rPr>
        <w:t>是厉行节约我单位严格按预算执行决算</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小于</w:t>
      </w:r>
      <w:r>
        <w:rPr>
          <w:rFonts w:ascii="Times New Roman" w:hAnsi="Times New Roman" w:eastAsia="仿宋_GB2312" w:cs="Times New Roman"/>
          <w:sz w:val="32"/>
          <w:szCs w:val="32"/>
        </w:rPr>
        <w:t>上年数的主要原因是</w:t>
      </w:r>
      <w:r>
        <w:rPr>
          <w:rFonts w:hint="eastAsia" w:ascii="Times New Roman" w:hAnsi="Times New Roman" w:eastAsia="仿宋_GB2312" w:cs="Times New Roman"/>
          <w:sz w:val="32"/>
          <w:szCs w:val="32"/>
          <w:lang w:val="en-US" w:eastAsia="zh-CN"/>
        </w:rPr>
        <w:t>按有关政策厉行节约，严控公务接待支出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271</w:t>
      </w:r>
      <w:r>
        <w:rPr>
          <w:rFonts w:ascii="Times New Roman" w:hAnsi="Times New Roman" w:eastAsia="仿宋_GB2312" w:cs="Times New Roman"/>
          <w:sz w:val="32"/>
          <w:szCs w:val="32"/>
        </w:rPr>
        <w:t>人次，主要是</w:t>
      </w:r>
      <w:r>
        <w:rPr>
          <w:rFonts w:hint="eastAsia" w:ascii="Times New Roman" w:hAnsi="Times New Roman" w:eastAsia="仿宋_GB2312"/>
          <w:sz w:val="32"/>
          <w:szCs w:val="32"/>
        </w:rPr>
        <w:t>与有关单位交流工作情况及接受相关部门检查指导工作发生的接待支出</w:t>
      </w:r>
      <w:r>
        <w:rPr>
          <w:rFonts w:hint="eastAsia" w:ascii="仿宋_GB2312" w:hAnsi="仿宋_GB2312" w:eastAsia="仿宋_GB2312" w:cs="仿宋_GB2312"/>
          <w:sz w:val="32"/>
          <w:szCs w:val="32"/>
        </w:rPr>
        <w:t>。</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261.65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比年初预算数增加</w:t>
      </w:r>
      <w:r>
        <w:rPr>
          <w:rFonts w:hint="eastAsia" w:ascii="仿宋_GB2312" w:hAnsi="仿宋_GB2312" w:eastAsia="仿宋_GB2312" w:cs="仿宋_GB2312"/>
          <w:sz w:val="32"/>
          <w:szCs w:val="32"/>
          <w:highlight w:val="none"/>
          <w:lang w:val="en-US" w:eastAsia="zh-CN"/>
        </w:rPr>
        <w:t>3.62</w:t>
      </w:r>
      <w:r>
        <w:rPr>
          <w:rFonts w:hint="eastAsia" w:ascii="仿宋_GB2312" w:hAnsi="仿宋_GB2312" w:eastAsia="仿宋_GB2312" w:cs="仿宋_GB2312"/>
          <w:sz w:val="32"/>
          <w:szCs w:val="32"/>
          <w:highlight w:val="none"/>
        </w:rPr>
        <w:t xml:space="preserve"> 万元，增长</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eastAsia="zh-CN"/>
        </w:rPr>
        <w:t>新进人员增加。</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年度，会议费年初预算1万元，支出决算为0.79万元，完成年初预算的79%。用于召开宣讲相关政策、业务工作布置、研讨等会议，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293</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宣讲二十届三中全会精神、全市血液透析政策研讨、DIP付费年度清算工作等</w:t>
      </w:r>
      <w:r>
        <w:rPr>
          <w:rFonts w:hint="eastAsia" w:ascii="仿宋_GB2312" w:hAnsi="仿宋_GB2312" w:eastAsia="仿宋_GB2312" w:cs="仿宋_GB2312"/>
          <w:sz w:val="32"/>
          <w:szCs w:val="32"/>
          <w:lang w:eastAsia="zh-CN"/>
        </w:rPr>
        <w:t>。</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培训费年初预算2万元，支出决算为0.7万元，完成年初预算的35%。用于开展业务和学习培训，人数81人，内容为廉政教育及全民参保工作培训。</w:t>
      </w:r>
    </w:p>
    <w:p w14:paraId="19CEB34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383.38</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46.21</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335.07</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383.38</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383.38</w:t>
      </w:r>
      <w:r>
        <w:rPr>
          <w:rFonts w:hint="eastAsia" w:ascii="仿宋_GB2312" w:hAnsi="仿宋_GB2312" w:eastAsia="仿宋_GB2312" w:cs="仿宋_GB2312"/>
          <w:sz w:val="32"/>
          <w:szCs w:val="32"/>
        </w:rPr>
        <w:t>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D5485A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b w:val="0"/>
          <w:bCs w:val="0"/>
          <w:sz w:val="32"/>
          <w:szCs w:val="32"/>
          <w:lang w:eastAsia="zh-CN"/>
        </w:rPr>
        <w:t>用于机要通信和应急保障之外公务用途的车辆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个，共涉及资</w:t>
      </w:r>
      <w:bookmarkStart w:id="0" w:name="_GoBack"/>
      <w:bookmarkEnd w:id="0"/>
      <w:r>
        <w:rPr>
          <w:rFonts w:ascii="Times New Roman" w:hAnsi="Times New Roman" w:eastAsia="仿宋_GB2312" w:cs="Times New Roman"/>
          <w:kern w:val="0"/>
          <w:sz w:val="32"/>
          <w:szCs w:val="32"/>
        </w:rPr>
        <w:t>金</w:t>
      </w:r>
      <w:r>
        <w:rPr>
          <w:rFonts w:hint="eastAsia" w:ascii="Times New Roman" w:hAnsi="Times New Roman" w:eastAsia="仿宋_GB2312" w:cs="Times New Roman"/>
          <w:kern w:val="0"/>
          <w:sz w:val="32"/>
          <w:szCs w:val="32"/>
          <w:lang w:val="en-US" w:eastAsia="zh-CN"/>
        </w:rPr>
        <w:t>2317.43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8</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525.96</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14:paraId="68C5EB14">
      <w:pPr>
        <w:numPr>
          <w:ilvl w:val="0"/>
          <w:numId w:val="3"/>
        </w:numPr>
        <w:overflowPunct w:val="0"/>
        <w:spacing w:line="600" w:lineRule="exact"/>
        <w:ind w:firstLine="640" w:firstLineChars="200"/>
        <w:rPr>
          <w:rFonts w:ascii="Times New Roman" w:hAnsi="Times New Roman" w:eastAsia="楷体" w:cs="Times New Roman"/>
          <w:b/>
          <w:bCs/>
          <w:sz w:val="32"/>
          <w:szCs w:val="32"/>
        </w:rPr>
      </w:pP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kern w:val="0"/>
          <w:sz w:val="32"/>
          <w:szCs w:val="32"/>
          <w:lang w:val="en-US" w:eastAsia="zh-CN"/>
        </w:rPr>
        <w:t>罚没收入返还</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val="en-US" w:eastAsia="zh-CN"/>
        </w:rPr>
        <w:t>基金监管及运行管理经费</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医保改革及经办服务经费</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等</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sz w:val="32"/>
          <w:szCs w:val="32"/>
          <w:lang w:val="en-US" w:eastAsia="zh-CN"/>
        </w:rPr>
        <w:t>183.18</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eastAsia="zh-CN"/>
        </w:rPr>
        <w:t>。</w:t>
      </w:r>
    </w:p>
    <w:p w14:paraId="004D01B3">
      <w:pPr>
        <w:numPr>
          <w:ilvl w:val="0"/>
          <w:numId w:val="3"/>
        </w:numPr>
        <w:overflowPunct w:val="0"/>
        <w:spacing w:line="600" w:lineRule="exact"/>
        <w:ind w:firstLine="640" w:firstLineChars="200"/>
        <w:rPr>
          <w:rFonts w:ascii="Times New Roman" w:hAnsi="Times New Roman" w:eastAsia="楷体" w:cs="Times New Roman"/>
          <w:b/>
          <w:bCs/>
          <w:sz w:val="32"/>
          <w:szCs w:val="32"/>
        </w:rPr>
      </w:pP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lang w:val="en-US" w:eastAsia="zh-CN"/>
        </w:rPr>
        <w:t>本单位及所属单位本年度未新增重大政策和重大项目，所以无事前绩效评估开展情况。</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794E6F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i w:val="0"/>
          <w:iCs w:val="0"/>
          <w:caps w:val="0"/>
          <w:color w:val="333333"/>
          <w:spacing w:val="0"/>
          <w:sz w:val="32"/>
          <w:szCs w:val="32"/>
          <w:shd w:val="clear" w:color="auto" w:fill="FFFFFF"/>
          <w:lang w:val="en-US"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2462.51</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2324.03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94.37</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99.44</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仿宋" w:hAnsi="仿宋" w:eastAsia="仿宋" w:cs="仿宋"/>
          <w:i w:val="0"/>
          <w:iCs w:val="0"/>
          <w:caps w:val="0"/>
          <w:color w:val="333333"/>
          <w:spacing w:val="0"/>
          <w:sz w:val="32"/>
          <w:szCs w:val="32"/>
          <w:shd w:val="clear" w:color="auto" w:fill="FFFFFF"/>
          <w:lang w:val="en-US" w:eastAsia="zh-CN"/>
        </w:rPr>
        <w:t>一是树牢了“三大理念”。树牢“以病人为中心”的理念，致力于减少患者自负，提升患者满意度；树牢医疗、医保“三同”理念，同心、同向、同力发挥医保基金效益；树牢“医保就是服务”的理念，为患者、医药机构和党委政府服好务。二是荣获了两个奖项。在国家医保局举办的全民参保宣传作品征集活动中，我局作品《大山中的“守护”》荣获二等奖。在国家医保局2024 年度优秀调研信息评选活动中，我局信息《关于城乡居民基本医疗保险费征缴工作的调研报告》荣获二等奖。三是做到了三个领先。领先全省于2024年启动“智慧医保工行共建”活动，拓展延伸医保经办服务，打造了“15分钟医保服务圈”。领先全省实现全市定点医疗机构智能审核和监控全覆盖。2025年度城乡居民基本医保参保进度居全省领先地位。</w:t>
      </w:r>
    </w:p>
    <w:p w14:paraId="202E94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baseline"/>
        <w:rPr>
          <w:rFonts w:hint="eastAsia" w:ascii="楷体" w:hAnsi="楷体" w:eastAsia="楷体" w:cs="楷体"/>
          <w:b/>
          <w:bCs/>
          <w:sz w:val="32"/>
          <w:szCs w:val="32"/>
        </w:rPr>
      </w:pPr>
      <w:r>
        <w:rPr>
          <w:rFonts w:ascii="Times New Roman" w:hAnsi="Times New Roman" w:eastAsia="仿宋_GB2312" w:cs="Times New Roman"/>
          <w:sz w:val="32"/>
          <w:szCs w:val="32"/>
        </w:rPr>
        <w:t>发现的主要问题及原因：</w:t>
      </w:r>
      <w:r>
        <w:rPr>
          <w:rFonts w:hint="eastAsia" w:ascii="仿宋_GB2312" w:hAnsi="仿宋_GB2312" w:eastAsia="仿宋_GB2312" w:cs="仿宋_GB2312"/>
          <w:b w:val="0"/>
          <w:bCs w:val="0"/>
          <w:sz w:val="32"/>
          <w:szCs w:val="32"/>
          <w:lang w:val="en-US" w:eastAsia="zh-CN"/>
        </w:rPr>
        <w:t>一是履职效能方面：绩效评价人员匮乏，绩效意识薄弱、专业能力不足；二是预算和绩效管理方面：绩效目标编制不规范，设定不完整；三是资金分配使用和管理方面：资金分配与项目预算不匹配，使用过程中与压缩财政一般性支出要求不相适；四是资产和财务管理与政府采购方面：资产采购编制不够精确。下一步改进措施：一</w:t>
      </w:r>
      <w:r>
        <w:rPr>
          <w:rFonts w:hint="eastAsia" w:ascii="仿宋_GB2312" w:hAnsi="仿宋_GB2312" w:eastAsia="仿宋_GB2312" w:cs="仿宋_GB2312"/>
          <w:b w:val="0"/>
          <w:bCs w:val="0"/>
          <w:kern w:val="2"/>
          <w:sz w:val="32"/>
          <w:szCs w:val="32"/>
          <w:lang w:val="en-US" w:eastAsia="zh-CN" w:bidi="ar-SA"/>
        </w:rPr>
        <w:t>是加快人才队伍建设，提高绩效意识和管理人员专业水平；二是强化绩效目标管</w:t>
      </w:r>
      <w:r>
        <w:rPr>
          <w:rFonts w:hint="eastAsia" w:ascii="仿宋_GB2312" w:hAnsi="仿宋_GB2312" w:eastAsia="仿宋_GB2312" w:cs="仿宋_GB2312"/>
          <w:b w:val="0"/>
          <w:bCs w:val="0"/>
          <w:sz w:val="32"/>
          <w:szCs w:val="32"/>
          <w:lang w:val="en-US" w:eastAsia="zh-CN"/>
        </w:rPr>
        <w:t>理，践行相关程序；三是科学分配预算资金，切实有效保障资金供给；四是严格预算编制，认真按要求进行资产配置。</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sz w:val="32"/>
          <w:szCs w:val="32"/>
          <w:lang w:val="en-US" w:eastAsia="zh-CN"/>
        </w:rPr>
        <w:t>医保改革及经办服务经费</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94.7</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89.16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94</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99.4</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基金监管及运行管理经费</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85.5</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84.6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99.8</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罚没收入返还</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9.42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以上项目</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val="en-US" w:eastAsia="zh-CN"/>
        </w:rPr>
        <w:t>主要是支出进度缓慢，资金支付滞后</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sz w:val="32"/>
          <w:szCs w:val="32"/>
          <w:lang w:val="en-US" w:eastAsia="zh-CN"/>
        </w:rPr>
        <w:t>加强执行监控，加快费用执行和支付进度；</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color w:val="auto"/>
          <w:sz w:val="32"/>
          <w:szCs w:val="32"/>
          <w:highlight w:val="none"/>
          <w:lang w:val="en-US" w:eastAsia="zh-CN"/>
        </w:rPr>
        <w:t>本单位及所属单位本年度未开展事前绩效评估，所以无事前绩效评估结果。</w:t>
      </w:r>
    </w:p>
    <w:p w14:paraId="54BCE378">
      <w:pPr>
        <w:numPr>
          <w:ilvl w:val="0"/>
          <w:numId w:val="4"/>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09A8C520">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根据2024年度绩效自评结果、部门评价结果本部门2025年度预算安排，</w:t>
      </w:r>
      <w:r>
        <w:rPr>
          <w:rFonts w:hint="eastAsia" w:ascii="Times New Roman" w:hAnsi="Times New Roman" w:eastAsia="仿宋_GB2312" w:cs="Times New Roman"/>
          <w:color w:val="auto"/>
          <w:sz w:val="32"/>
          <w:szCs w:val="32"/>
          <w:highlight w:val="none"/>
          <w:lang w:val="en-US" w:eastAsia="zh-CN"/>
        </w:rPr>
        <w:t>坚持厉行节约进一步压缩一般行政性支出，在</w:t>
      </w:r>
      <w:r>
        <w:rPr>
          <w:rFonts w:ascii="Times New Roman" w:hAnsi="Times New Roman" w:eastAsia="仿宋_GB2312" w:cs="Times New Roman"/>
          <w:color w:val="auto"/>
          <w:sz w:val="32"/>
          <w:szCs w:val="32"/>
          <w:highlight w:val="none"/>
        </w:rPr>
        <w:t>支出结构调整</w:t>
      </w:r>
      <w:r>
        <w:rPr>
          <w:rFonts w:hint="eastAsia" w:ascii="Times New Roman" w:hAnsi="Times New Roman" w:eastAsia="仿宋_GB2312" w:cs="Times New Roman"/>
          <w:color w:val="auto"/>
          <w:sz w:val="32"/>
          <w:szCs w:val="32"/>
          <w:highlight w:val="none"/>
          <w:lang w:val="en-US" w:eastAsia="zh-CN"/>
        </w:rPr>
        <w:t>上优先保障员工工资福利、单位正常运转类支出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严格</w:t>
      </w:r>
      <w:r>
        <w:rPr>
          <w:rFonts w:ascii="Times New Roman" w:hAnsi="Times New Roman" w:eastAsia="仿宋_GB2312" w:cs="Times New Roman"/>
          <w:color w:val="auto"/>
          <w:sz w:val="32"/>
          <w:szCs w:val="32"/>
          <w:highlight w:val="none"/>
        </w:rPr>
        <w:t>资金管理</w:t>
      </w:r>
      <w:r>
        <w:rPr>
          <w:rFonts w:hint="eastAsia" w:ascii="Times New Roman" w:hAnsi="Times New Roman" w:eastAsia="仿宋_GB2312" w:cs="Times New Roman"/>
          <w:color w:val="auto"/>
          <w:sz w:val="32"/>
          <w:szCs w:val="32"/>
          <w:highlight w:val="none"/>
          <w:lang w:val="en-US" w:eastAsia="zh-CN"/>
        </w:rPr>
        <w:t>支出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完善相关财务及内控</w:t>
      </w:r>
      <w:r>
        <w:rPr>
          <w:rFonts w:ascii="Times New Roman" w:hAnsi="Times New Roman" w:eastAsia="仿宋_GB2312" w:cs="Times New Roman"/>
          <w:color w:val="auto"/>
          <w:sz w:val="32"/>
          <w:szCs w:val="32"/>
          <w:highlight w:val="none"/>
        </w:rPr>
        <w:t>制度。</w:t>
      </w:r>
    </w:p>
    <w:p w14:paraId="41D909D2">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4A642089">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p>
    <w:p w14:paraId="147E06D0">
      <w:pPr>
        <w:pStyle w:val="14"/>
        <w:jc w:val="both"/>
        <w:rPr>
          <w:rFonts w:hint="eastAsia" w:ascii="方正小标宋_GBK" w:hAnsi="方正小标宋_GBK" w:eastAsia="方正小标宋_GBK" w:cs="方正小标宋_GBK"/>
          <w:sz w:val="24"/>
          <w:szCs w:val="24"/>
        </w:rPr>
      </w:pPr>
    </w:p>
    <w:p w14:paraId="3D83FDA1">
      <w:pPr>
        <w:pStyle w:val="14"/>
        <w:jc w:val="center"/>
        <w:rPr>
          <w:rFonts w:hint="eastAsia" w:ascii="方正小标宋_GBK" w:hAnsi="方正小标宋_GBK" w:eastAsia="方正小标宋_GBK" w:cs="方正小标宋_GBK"/>
          <w:sz w:val="72"/>
          <w:szCs w:val="72"/>
        </w:rPr>
      </w:pPr>
    </w:p>
    <w:p w14:paraId="6FB6F211">
      <w:pPr>
        <w:pStyle w:val="14"/>
        <w:jc w:val="center"/>
        <w:rPr>
          <w:rFonts w:hint="eastAsia" w:ascii="方正小标宋_GBK" w:hAnsi="方正小标宋_GBK" w:eastAsia="方正小标宋_GBK" w:cs="方正小标宋_GBK"/>
          <w:sz w:val="72"/>
          <w:szCs w:val="72"/>
        </w:rPr>
      </w:pPr>
    </w:p>
    <w:p w14:paraId="3A01B6B0">
      <w:pPr>
        <w:pStyle w:val="14"/>
        <w:jc w:val="center"/>
        <w:rPr>
          <w:rFonts w:hint="eastAsia" w:ascii="方正小标宋_GBK" w:hAnsi="方正小标宋_GBK" w:eastAsia="方正小标宋_GBK" w:cs="方正小标宋_GBK"/>
          <w:sz w:val="72"/>
          <w:szCs w:val="72"/>
        </w:rPr>
      </w:pPr>
    </w:p>
    <w:p w14:paraId="475C1000">
      <w:pPr>
        <w:pStyle w:val="14"/>
        <w:jc w:val="center"/>
        <w:rPr>
          <w:rFonts w:hint="eastAsia" w:ascii="方正小标宋_GBK" w:hAnsi="方正小标宋_GBK" w:eastAsia="方正小标宋_GBK" w:cs="方正小标宋_GBK"/>
          <w:sz w:val="72"/>
          <w:szCs w:val="72"/>
        </w:rPr>
      </w:pPr>
    </w:p>
    <w:p w14:paraId="0CE95151">
      <w:pPr>
        <w:pStyle w:val="14"/>
        <w:jc w:val="center"/>
        <w:rPr>
          <w:rFonts w:hint="eastAsia" w:ascii="方正小标宋_GBK" w:hAnsi="方正小标宋_GBK" w:eastAsia="方正小标宋_GBK" w:cs="方正小标宋_GBK"/>
          <w:sz w:val="72"/>
          <w:szCs w:val="72"/>
        </w:rPr>
      </w:pPr>
    </w:p>
    <w:p w14:paraId="1A5507CB">
      <w:pPr>
        <w:pStyle w:val="14"/>
        <w:jc w:val="center"/>
        <w:rPr>
          <w:rFonts w:hint="eastAsia" w:ascii="方正小标宋_GBK" w:hAnsi="方正小标宋_GBK" w:eastAsia="方正小标宋_GBK" w:cs="方正小标宋_GBK"/>
          <w:sz w:val="72"/>
          <w:szCs w:val="72"/>
        </w:rPr>
      </w:pPr>
    </w:p>
    <w:p w14:paraId="3FE18C40">
      <w:pPr>
        <w:pStyle w:val="14"/>
        <w:jc w:val="center"/>
        <w:rPr>
          <w:rFonts w:hint="eastAsia" w:ascii="方正小标宋_GBK" w:hAnsi="方正小标宋_GBK" w:eastAsia="方正小标宋_GBK" w:cs="方正小标宋_GBK"/>
          <w:sz w:val="72"/>
          <w:szCs w:val="72"/>
        </w:rPr>
      </w:pPr>
    </w:p>
    <w:p w14:paraId="5A6291D6">
      <w:pPr>
        <w:pStyle w:val="14"/>
        <w:jc w:val="center"/>
        <w:rPr>
          <w:rFonts w:hint="eastAsia" w:ascii="方正小标宋_GBK" w:hAnsi="方正小标宋_GBK" w:eastAsia="方正小标宋_GBK" w:cs="方正小标宋_GBK"/>
          <w:sz w:val="72"/>
          <w:szCs w:val="72"/>
        </w:rPr>
      </w:pPr>
    </w:p>
    <w:p w14:paraId="57A0AB4E">
      <w:pPr>
        <w:pStyle w:val="14"/>
        <w:jc w:val="center"/>
        <w:rPr>
          <w:rFonts w:hint="eastAsia" w:ascii="方正小标宋_GBK" w:hAnsi="方正小标宋_GBK" w:eastAsia="方正小标宋_GBK" w:cs="方正小标宋_GBK"/>
          <w:sz w:val="72"/>
          <w:szCs w:val="72"/>
        </w:rPr>
      </w:pPr>
    </w:p>
    <w:p w14:paraId="340ABA43">
      <w:pPr>
        <w:pStyle w:val="14"/>
        <w:jc w:val="center"/>
        <w:rPr>
          <w:rFonts w:hint="eastAsia" w:ascii="方正小标宋_GBK" w:hAnsi="方正小标宋_GBK" w:eastAsia="方正小标宋_GBK" w:cs="方正小标宋_GBK"/>
          <w:sz w:val="72"/>
          <w:szCs w:val="72"/>
        </w:rPr>
      </w:pPr>
    </w:p>
    <w:p w14:paraId="6A5A782C">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8"/>
      </w:pPr>
    </w:p>
    <w:p w14:paraId="5331F884">
      <w:pPr>
        <w:pStyle w:val="5"/>
      </w:pPr>
    </w:p>
    <w:p w14:paraId="2CCAD852"/>
    <w:p w14:paraId="440E89DF">
      <w:pPr>
        <w:pStyle w:val="8"/>
      </w:pPr>
    </w:p>
    <w:p w14:paraId="645B9B76">
      <w:pPr>
        <w:pStyle w:val="5"/>
      </w:pPr>
    </w:p>
    <w:p w14:paraId="539F25AC"/>
    <w:p w14:paraId="47AFAB8F">
      <w:pPr>
        <w:pStyle w:val="8"/>
      </w:pPr>
    </w:p>
    <w:p w14:paraId="479D6353">
      <w:pPr>
        <w:pStyle w:val="5"/>
      </w:pPr>
    </w:p>
    <w:p w14:paraId="648103ED"/>
    <w:p w14:paraId="08A5EA8F">
      <w:pPr>
        <w:pStyle w:val="8"/>
      </w:pPr>
    </w:p>
    <w:p w14:paraId="3FD0BAB6">
      <w:pPr>
        <w:pStyle w:val="5"/>
      </w:pPr>
    </w:p>
    <w:p w14:paraId="31BB0408"/>
    <w:p w14:paraId="3FCE4C6C">
      <w:pPr>
        <w:pStyle w:val="2"/>
      </w:pPr>
    </w:p>
    <w:p w14:paraId="19FAC57D">
      <w:pPr>
        <w:pStyle w:val="3"/>
      </w:pPr>
    </w:p>
    <w:p w14:paraId="069890AA"/>
    <w:p w14:paraId="067D1148">
      <w:pPr>
        <w:pStyle w:val="2"/>
      </w:pPr>
    </w:p>
    <w:p w14:paraId="7953BB40">
      <w:pPr>
        <w:pStyle w:val="3"/>
      </w:pPr>
    </w:p>
    <w:p w14:paraId="651E68F6"/>
    <w:p w14:paraId="3DA5AA89">
      <w:pPr>
        <w:pStyle w:val="2"/>
      </w:pPr>
    </w:p>
    <w:p w14:paraId="2565101A">
      <w:pPr>
        <w:pStyle w:val="3"/>
      </w:pPr>
    </w:p>
    <w:p w14:paraId="1CAE18D7"/>
    <w:p w14:paraId="0B305D6A">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2CBEC79">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机关运行经费</w:t>
      </w:r>
      <w:r>
        <w:rPr>
          <w:rFonts w:hint="eastAsia" w:ascii="宋体" w:hAnsi="宋体" w:eastAsia="宋体" w:cs="黑体"/>
          <w:color w:val="000000"/>
          <w:kern w:val="0"/>
          <w:sz w:val="32"/>
          <w:szCs w:val="32"/>
          <w:lang w:val="en-US" w:eastAsia="zh-CN"/>
        </w:rPr>
        <w:t>，指为保障行政单位（包括参照公务员法管理的事业单位）运行用于购买货物和服务的各项资金</w:t>
      </w:r>
      <w:r>
        <w:rPr>
          <w:rFonts w:hint="eastAsia" w:ascii="宋体" w:hAnsi="宋体" w:eastAsia="宋体" w:cs="黑体"/>
          <w:color w:val="000000"/>
          <w:kern w:val="0"/>
          <w:sz w:val="32"/>
          <w:szCs w:val="32"/>
          <w:lang w:val="en-US"/>
        </w:rPr>
        <w:t>，包括办公</w:t>
      </w:r>
      <w:r>
        <w:rPr>
          <w:rFonts w:hint="eastAsia" w:ascii="宋体" w:hAnsi="宋体" w:eastAsia="宋体" w:cs="黑体"/>
          <w:color w:val="000000"/>
          <w:kern w:val="0"/>
          <w:sz w:val="32"/>
          <w:szCs w:val="32"/>
          <w:lang w:val="en-US" w:eastAsia="zh-CN"/>
        </w:rPr>
        <w:t>费、</w:t>
      </w:r>
      <w:r>
        <w:rPr>
          <w:rFonts w:hint="eastAsia" w:ascii="宋体" w:hAnsi="宋体" w:eastAsia="宋体" w:cs="黑体"/>
          <w:color w:val="000000"/>
          <w:kern w:val="0"/>
          <w:sz w:val="32"/>
          <w:szCs w:val="32"/>
          <w:lang w:val="en-US"/>
        </w:rPr>
        <w:t>印刷费、邮电费、差旅费、会议费、日常维修费、专用材料及一般设备购置费、办公用房水电费、办公用房取暖费、办公用房物业管理费、公务用车运行维护费以及其他费用。</w:t>
      </w:r>
    </w:p>
    <w:p w14:paraId="538B27D4">
      <w:pPr>
        <w:jc w:val="left"/>
        <w:rPr>
          <w:rFonts w:hint="eastAsia" w:ascii="宋体" w:hAnsi="宋体" w:eastAsia="宋体" w:cs="黑体"/>
          <w:color w:val="000000"/>
          <w:kern w:val="0"/>
          <w:sz w:val="32"/>
          <w:szCs w:val="32"/>
          <w:lang w:val="en-US"/>
        </w:rPr>
      </w:pPr>
      <w:r>
        <w:rPr>
          <w:rFonts w:hint="eastAsia" w:ascii="方正小标宋_GBK" w:hAnsi="方正小标宋_GBK" w:eastAsia="方正小标宋_GBK" w:cs="方正小标宋_GBK"/>
          <w:color w:val="000000"/>
          <w:kern w:val="0"/>
          <w:sz w:val="70"/>
          <w:szCs w:val="70"/>
          <w:lang w:val="en-US" w:eastAsia="zh-CN"/>
        </w:rPr>
        <w:t xml:space="preserve">  </w:t>
      </w:r>
      <w:r>
        <w:rPr>
          <w:rFonts w:hint="eastAsia" w:ascii="宋体" w:hAnsi="宋体" w:eastAsia="宋体" w:cs="黑体"/>
          <w:color w:val="000000"/>
          <w:kern w:val="0"/>
          <w:sz w:val="32"/>
          <w:szCs w:val="32"/>
          <w:lang w:val="en-US"/>
        </w:rPr>
        <w:t>财政拨款收入：指本级财政当年拨付的资金。</w:t>
      </w:r>
    </w:p>
    <w:p w14:paraId="4A0BE9FF">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其他收入：指除上述</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财政拨款收入</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上级补助收入</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事业收入</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经营收入</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附属单位上缴收入</w:t>
      </w:r>
      <w:r>
        <w:rPr>
          <w:rFonts w:hint="default" w:ascii="宋体" w:hAnsi="宋体" w:eastAsia="宋体" w:cs="黑体"/>
          <w:color w:val="000000"/>
          <w:kern w:val="0"/>
          <w:sz w:val="32"/>
          <w:szCs w:val="32"/>
          <w:lang w:val="en-US"/>
        </w:rPr>
        <w:t>”</w:t>
      </w:r>
      <w:r>
        <w:rPr>
          <w:rFonts w:hint="eastAsia" w:ascii="宋体" w:hAnsi="宋体" w:eastAsia="宋体" w:cs="黑体"/>
          <w:color w:val="000000"/>
          <w:kern w:val="0"/>
          <w:sz w:val="32"/>
          <w:szCs w:val="32"/>
          <w:lang w:val="en-US"/>
        </w:rPr>
        <w:t>等以外的收入。</w:t>
      </w:r>
    </w:p>
    <w:p w14:paraId="10208149">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上年结转和结余：指以前年度尚未完成、结转到本年按有关规定继续使用的资金。</w:t>
      </w:r>
    </w:p>
    <w:p w14:paraId="43C5143F">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年末结转和结余资金：指本年度或以前年度预算安排、因客观条件发生变化无法按原计划实施，需要延迟到以后年度按有关规定继续使用的资金。</w:t>
      </w:r>
    </w:p>
    <w:p w14:paraId="63A04891">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D3E75D0">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卫生健康支出（类）：是指用于医疗卫生与计划生育方面的支出，包括保障机构正常运转、完成日常和特定的工作任务或事业发展目标的支出。</w:t>
      </w:r>
    </w:p>
    <w:p w14:paraId="07DE5C5D">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其他支出（类）：是指用于反映除上述项目以外其他不能划分到具体功能科目中的支出项目，包括保障机构正常运转、完成日常和特定的工作任务或事业发展目标的支出。</w:t>
      </w:r>
    </w:p>
    <w:p w14:paraId="2F708D45">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基本支出：指保障机构正常运转、完成日常工作任务而发生的人员支出和公用支出。</w:t>
      </w:r>
    </w:p>
    <w:p w14:paraId="060707EF">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项目支出：指在基本支出之外为完成特定行政任务和事业发展目标所发生的支出。</w:t>
      </w:r>
    </w:p>
    <w:p w14:paraId="5C31475C">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0821B821">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工资福利支出：反映单位开支的在职职工和编制外长期聘用人员的各类劳动报酬，以及为上述人员缴纳的各项社会保险费等。基本工资：反映按规定发放的基本工资，包括公务员的职务工资、级别工资；机关工人的岗位工资、技术等级工资；事业单位工作人员的岗位工资、薪级工资；各类学校毕业生试用期</w:t>
      </w:r>
      <w:r>
        <w:rPr>
          <w:rFonts w:hint="eastAsia" w:ascii="宋体" w:hAnsi="宋体" w:eastAsia="宋体" w:cs="黑体"/>
          <w:color w:val="000000"/>
          <w:kern w:val="0"/>
          <w:sz w:val="32"/>
          <w:szCs w:val="32"/>
          <w:lang w:val="en-US" w:eastAsia="zh-CN"/>
        </w:rPr>
        <w:t>（</w:t>
      </w:r>
      <w:r>
        <w:rPr>
          <w:rFonts w:hint="eastAsia" w:ascii="宋体" w:hAnsi="宋体" w:eastAsia="宋体" w:cs="黑体"/>
          <w:color w:val="000000"/>
          <w:kern w:val="0"/>
          <w:sz w:val="32"/>
          <w:szCs w:val="32"/>
          <w:lang w:val="en-US"/>
        </w:rPr>
        <w:t>见习期</w:t>
      </w:r>
      <w:r>
        <w:rPr>
          <w:rFonts w:hint="eastAsia" w:ascii="宋体" w:hAnsi="宋体" w:eastAsia="宋体" w:cs="黑体"/>
          <w:color w:val="000000"/>
          <w:kern w:val="0"/>
          <w:sz w:val="32"/>
          <w:szCs w:val="32"/>
          <w:lang w:val="en-US" w:eastAsia="zh-CN"/>
        </w:rPr>
        <w:t>）</w:t>
      </w:r>
      <w:r>
        <w:rPr>
          <w:rFonts w:hint="eastAsia" w:ascii="宋体" w:hAnsi="宋体" w:eastAsia="宋体" w:cs="黑体"/>
          <w:color w:val="000000"/>
          <w:kern w:val="0"/>
          <w:sz w:val="32"/>
          <w:szCs w:val="32"/>
          <w:lang w:val="en-US"/>
        </w:rPr>
        <w:t>工资、新参加工作工人学徒期、熟练期工资；军队（武警）军官、文职干部的职务（专业技术等级）工资、军衔（级别）工资、基础工资和军龄工资；军队士官的军衔等级工资、基础工资和军龄工资等。</w:t>
      </w:r>
    </w:p>
    <w:p w14:paraId="318ECB20">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津贴补贴：反映经国家批准建立的机关事业单位艰苦边远地区津贴、机关工作人员地区附加津贴、机关工作人员岗位津贴、事业单位工作人员特殊岗位津贴补贴等。</w:t>
      </w:r>
    </w:p>
    <w:p w14:paraId="74A7B24E">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奖金：反映机关工作人员年终一次性奖金。</w:t>
      </w:r>
    </w:p>
    <w:p w14:paraId="1B46132D">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伙食补助费：反映单位发给职工的伙食补助费，如误餐补助等。</w:t>
      </w:r>
    </w:p>
    <w:p w14:paraId="4539E5F0">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绩效工资：反映事业单位工作人员的绩效工资。</w:t>
      </w:r>
    </w:p>
    <w:p w14:paraId="0B1B04B2">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机关事业单位基本养老保险缴费：反映机关事业单位缴纳的基本养老保险费。由单位代扣的工作人员基本养老保险缴费，不在此科目反映。</w:t>
      </w:r>
    </w:p>
    <w:p w14:paraId="2761E644">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职工基本医疗保险缴费：反映单位为职工缴纳的基本医疗保险费。</w:t>
      </w:r>
    </w:p>
    <w:p w14:paraId="350BB4FA">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其他社会保障缴费：反映单位为职工缴纳的基本医疗、失业、工伤、生育等社会保险费，残疾人就业保障金，军队（含武警）为军人缴纳的伤亡、退役医疗等社会保险费。</w:t>
      </w:r>
    </w:p>
    <w:p w14:paraId="33332141">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住房公积金：反映行政事业单位按人力资源和社会保障部、财政部规定的基本工资和津贴补贴以及规定比例为职工缴纳的住房公积金。</w:t>
      </w:r>
    </w:p>
    <w:p w14:paraId="139D12A4">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商品和服务支出：反映单位购买商品和服务的支出（不包括用于购置固定资产的支出、战略性和应急储备支出）。</w:t>
      </w:r>
    </w:p>
    <w:p w14:paraId="46F83383">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办公费：反映单位购买按财务会计制度规定不符合固定资产确认标准的日常办公用品、书报杂志等支出。</w:t>
      </w:r>
    </w:p>
    <w:p w14:paraId="1197747B">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印刷费：反映单位的印刷费支出。</w:t>
      </w:r>
    </w:p>
    <w:p w14:paraId="6479F4E7">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咨询费：反映单位咨询方面的支出。</w:t>
      </w:r>
    </w:p>
    <w:p w14:paraId="2FA89D2E">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水费：反映单位支付的水费、污水处理费等支出。</w:t>
      </w:r>
    </w:p>
    <w:p w14:paraId="09242CFF">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电费：反映单位的电费支出。</w:t>
      </w:r>
    </w:p>
    <w:p w14:paraId="6CCCDCF5">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邮电费：反映单位开支的信函、包裹、货物等物品的邮寄费及电话费、电报费、传真费、网络通讯费等。</w:t>
      </w:r>
    </w:p>
    <w:p w14:paraId="6FEF92BD">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物业管理费：反映单位开支的办公用房以及未实行职工住宅物业服务改革的在职职工和离退休人员宿舍等的物业管理费，包括综合治理、绿化、卫生等方面的支出。</w:t>
      </w:r>
    </w:p>
    <w:p w14:paraId="2FF195BF">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差旅费：反映单位工作人员出差发生的城市间交通费、住宿费、伙食补贴费和市内交通费。</w:t>
      </w:r>
    </w:p>
    <w:p w14:paraId="16DC5137">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维修</w:t>
      </w:r>
      <w:r>
        <w:rPr>
          <w:rFonts w:hint="eastAsia" w:ascii="宋体" w:hAnsi="宋体" w:eastAsia="宋体" w:cs="黑体"/>
          <w:color w:val="000000"/>
          <w:kern w:val="0"/>
          <w:sz w:val="32"/>
          <w:szCs w:val="32"/>
          <w:lang w:val="en-US" w:eastAsia="zh-CN"/>
        </w:rPr>
        <w:t>（</w:t>
      </w:r>
      <w:r>
        <w:rPr>
          <w:rFonts w:hint="eastAsia" w:ascii="宋体" w:hAnsi="宋体" w:eastAsia="宋体" w:cs="黑体"/>
          <w:color w:val="000000"/>
          <w:kern w:val="0"/>
          <w:sz w:val="32"/>
          <w:szCs w:val="32"/>
          <w:lang w:val="en-US"/>
        </w:rPr>
        <w:t>护</w:t>
      </w:r>
      <w:r>
        <w:rPr>
          <w:rFonts w:hint="eastAsia" w:ascii="宋体" w:hAnsi="宋体" w:eastAsia="宋体" w:cs="黑体"/>
          <w:color w:val="000000"/>
          <w:kern w:val="0"/>
          <w:sz w:val="32"/>
          <w:szCs w:val="32"/>
          <w:lang w:val="en-US" w:eastAsia="zh-CN"/>
        </w:rPr>
        <w:t>）</w:t>
      </w:r>
      <w:r>
        <w:rPr>
          <w:rFonts w:hint="eastAsia" w:ascii="宋体" w:hAnsi="宋体" w:eastAsia="宋体" w:cs="黑体"/>
          <w:color w:val="000000"/>
          <w:kern w:val="0"/>
          <w:sz w:val="32"/>
          <w:szCs w:val="32"/>
          <w:lang w:val="en-US"/>
        </w:rPr>
        <w:t>费：反映单位日常开支的固定资产（不包括车船等交通工具）修理和维护费用，网络信息系统运行与维护费用，以及按规定提取的修购基金。</w:t>
      </w:r>
    </w:p>
    <w:p w14:paraId="0DC375B0">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会议费：反映会议中按规定开支的住宿费、伙食费、会议室租金、交通费、文件印刷费、医药费等。</w:t>
      </w:r>
    </w:p>
    <w:p w14:paraId="32C6D83C">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培训费：反映除因公出国（境）培训费以外的各类培训支出。</w:t>
      </w:r>
    </w:p>
    <w:p w14:paraId="07041A38">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公务接待费：反映单位按规定开支的各类公务接待（含外宾接待）费用。</w:t>
      </w:r>
    </w:p>
    <w:p w14:paraId="686404BB">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劳务费：反映支付给单位和个人的劳务费用，如临时聘用人员、钟点工工资，稿费、翻译费，评审费等。</w:t>
      </w:r>
    </w:p>
    <w:p w14:paraId="1F5986D2">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工会经费：反映单位按规定提取的工会经费。</w:t>
      </w:r>
    </w:p>
    <w:p w14:paraId="0C62C174">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公务用车运行维护费：反映单位按规定保留的公务用车燃料费、维修费、过桥过路费、保险费、安全奖励费用等支出。</w:t>
      </w:r>
    </w:p>
    <w:p w14:paraId="2ED3FE17">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其他交通费用：反映单位除公务用车运行维护费以外的其他交通费用。如公务交通补贴，租车费用、出租车费用，飞机、船舶等的燃料费、维修费、保险费等。</w:t>
      </w:r>
    </w:p>
    <w:p w14:paraId="07D3A206">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其他商品和服务支出：反映上述科目未包括的日常公用支出。如行政赔偿费和诉讼费、国内组织的会员费、来访费、广告宣传、其他劳务费及离休人员特需费、公用经费等。</w:t>
      </w:r>
    </w:p>
    <w:p w14:paraId="644A7A31">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对个人和家庭的补助：反映政府用于对个人和家庭的补助支出。</w:t>
      </w:r>
    </w:p>
    <w:p w14:paraId="467F338C">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退休费：反映行政事业单位和军队移交政府安置的退休人员的退休费和其他补贴。</w:t>
      </w:r>
    </w:p>
    <w:p w14:paraId="30FC3328">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奖励金：反映政府各部门的奖励支出，如对个体私营经济的奖励、计划生育目标责任奖励、独生子女父母奖励等。</w:t>
      </w:r>
    </w:p>
    <w:p w14:paraId="5D474B57">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办公设备购置：反映用于购置并按财务会计制度规定纳入固定资产核算范围的办公家具和办公设备的支出，以及按规定提取的修购基金。</w:t>
      </w:r>
    </w:p>
    <w:p w14:paraId="02B1CA65">
      <w:pPr>
        <w:ind w:firstLine="640" w:firstLineChars="200"/>
        <w:jc w:val="left"/>
        <w:rPr>
          <w:rFonts w:hint="eastAsia" w:ascii="宋体" w:hAnsi="宋体" w:eastAsia="宋体" w:cs="黑体"/>
          <w:color w:val="000000"/>
          <w:kern w:val="0"/>
          <w:sz w:val="32"/>
          <w:szCs w:val="32"/>
          <w:lang w:val="en-US"/>
        </w:rPr>
      </w:pPr>
      <w:r>
        <w:rPr>
          <w:rFonts w:hint="eastAsia" w:ascii="宋体" w:hAnsi="宋体" w:eastAsia="宋体" w:cs="黑体"/>
          <w:color w:val="000000"/>
          <w:kern w:val="0"/>
          <w:sz w:val="32"/>
          <w:szCs w:val="32"/>
          <w:lang w:val="en-US"/>
        </w:rPr>
        <w:t>其他资本性支出：反映上述科目中未包括的资本性支出。</w:t>
      </w:r>
    </w:p>
    <w:p w14:paraId="4F806E7D">
      <w:pPr>
        <w:pStyle w:val="8"/>
      </w:pPr>
    </w:p>
    <w:p w14:paraId="7B8BABF4">
      <w:pPr>
        <w:pStyle w:val="5"/>
      </w:pPr>
    </w:p>
    <w:p w14:paraId="1942C0DC"/>
    <w:p w14:paraId="6E2D1EEF">
      <w:pPr>
        <w:pStyle w:val="8"/>
      </w:pPr>
    </w:p>
    <w:p w14:paraId="5F6ABC3B">
      <w:pPr>
        <w:pStyle w:val="5"/>
      </w:pPr>
    </w:p>
    <w:p w14:paraId="51BE6437"/>
    <w:p w14:paraId="05344CBA">
      <w:pPr>
        <w:pStyle w:val="8"/>
      </w:pPr>
    </w:p>
    <w:p w14:paraId="5C9170AD">
      <w:pPr>
        <w:pStyle w:val="5"/>
      </w:pPr>
    </w:p>
    <w:p w14:paraId="29D3A91E"/>
    <w:p w14:paraId="0D2A994E">
      <w:pPr>
        <w:pStyle w:val="8"/>
      </w:pPr>
    </w:p>
    <w:p w14:paraId="43DE159F">
      <w:pPr>
        <w:pStyle w:val="14"/>
        <w:jc w:val="both"/>
        <w:rPr>
          <w:rFonts w:hint="eastAsia" w:ascii="方正小标宋_GBK" w:hAnsi="方正小标宋_GBK" w:eastAsia="方正小标宋_GBK" w:cs="方正小标宋_GBK"/>
          <w:sz w:val="72"/>
          <w:szCs w:val="72"/>
        </w:rPr>
      </w:pPr>
    </w:p>
    <w:p w14:paraId="0B8A48E9">
      <w:pPr>
        <w:pStyle w:val="14"/>
        <w:jc w:val="both"/>
        <w:rPr>
          <w:rFonts w:hint="eastAsia" w:ascii="方正小标宋_GBK" w:hAnsi="方正小标宋_GBK" w:eastAsia="方正小标宋_GBK" w:cs="方正小标宋_GBK"/>
          <w:sz w:val="72"/>
          <w:szCs w:val="72"/>
        </w:rPr>
      </w:pPr>
    </w:p>
    <w:p w14:paraId="373C988E">
      <w:pPr>
        <w:pStyle w:val="14"/>
        <w:jc w:val="both"/>
        <w:rPr>
          <w:rFonts w:hint="eastAsia" w:ascii="方正小标宋_GBK" w:hAnsi="方正小标宋_GBK" w:eastAsia="方正小标宋_GBK" w:cs="方正小标宋_GBK"/>
          <w:sz w:val="72"/>
          <w:szCs w:val="72"/>
        </w:rPr>
      </w:pPr>
    </w:p>
    <w:p w14:paraId="35F3B380">
      <w:pPr>
        <w:pStyle w:val="14"/>
        <w:jc w:val="both"/>
        <w:rPr>
          <w:rFonts w:hint="eastAsia" w:ascii="方正小标宋_GBK" w:hAnsi="方正小标宋_GBK" w:eastAsia="方正小标宋_GBK" w:cs="方正小标宋_GBK"/>
          <w:sz w:val="72"/>
          <w:szCs w:val="72"/>
        </w:rPr>
      </w:pPr>
    </w:p>
    <w:p w14:paraId="2E582990">
      <w:pPr>
        <w:pStyle w:val="14"/>
        <w:jc w:val="both"/>
        <w:rPr>
          <w:rFonts w:hint="eastAsia" w:ascii="方正小标宋_GBK" w:hAnsi="方正小标宋_GBK" w:eastAsia="方正小标宋_GBK" w:cs="方正小标宋_GBK"/>
          <w:sz w:val="72"/>
          <w:szCs w:val="72"/>
        </w:rPr>
      </w:pPr>
    </w:p>
    <w:p w14:paraId="6A231FF8">
      <w:pPr>
        <w:pStyle w:val="14"/>
        <w:jc w:val="both"/>
        <w:rPr>
          <w:rFonts w:hint="eastAsia" w:ascii="方正小标宋_GBK" w:hAnsi="方正小标宋_GBK" w:eastAsia="方正小标宋_GBK" w:cs="方正小标宋_GBK"/>
          <w:sz w:val="72"/>
          <w:szCs w:val="72"/>
        </w:rPr>
      </w:pPr>
    </w:p>
    <w:p w14:paraId="5808A36B">
      <w:pPr>
        <w:pStyle w:val="14"/>
        <w:jc w:val="both"/>
        <w:rPr>
          <w:rFonts w:hint="eastAsia" w:ascii="方正小标宋_GBK" w:hAnsi="方正小标宋_GBK" w:eastAsia="方正小标宋_GBK" w:cs="方正小标宋_GBK"/>
          <w:sz w:val="72"/>
          <w:szCs w:val="72"/>
        </w:rPr>
      </w:pPr>
    </w:p>
    <w:p w14:paraId="20BA6941">
      <w:pPr>
        <w:pStyle w:val="14"/>
        <w:jc w:val="both"/>
        <w:rPr>
          <w:rFonts w:hint="eastAsia" w:ascii="方正小标宋_GBK" w:hAnsi="方正小标宋_GBK" w:eastAsia="方正小标宋_GBK" w:cs="方正小标宋_GBK"/>
          <w:sz w:val="72"/>
          <w:szCs w:val="72"/>
        </w:rPr>
      </w:pPr>
    </w:p>
    <w:p w14:paraId="6B9E1A53">
      <w:pPr>
        <w:pStyle w:val="14"/>
        <w:jc w:val="both"/>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center"/>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hint="eastAsia" w:ascii="宋体" w:hAnsi="宋体" w:eastAsia="宋体" w:cs="黑体"/>
          <w:b/>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1890766">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3、2024年整体支出和项目支出自评表</w:t>
      </w:r>
    </w:p>
    <w:p w14:paraId="5F1BE56C">
      <w:pPr>
        <w:pStyle w:val="2"/>
      </w:pP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11D144CE"/>
    <w:multiLevelType w:val="singleLevel"/>
    <w:tmpl w:val="11D144CE"/>
    <w:lvl w:ilvl="0" w:tentative="0">
      <w:start w:val="2"/>
      <w:numFmt w:val="chineseCounting"/>
      <w:suff w:val="nothing"/>
      <w:lvlText w:val="（%1）"/>
      <w:lvlJc w:val="left"/>
      <w:rPr>
        <w:rFonts w:hint="eastAsia"/>
      </w:rPr>
    </w:lvl>
  </w:abstractNum>
  <w:abstractNum w:abstractNumId="2">
    <w:nsid w:val="24F50726"/>
    <w:multiLevelType w:val="singleLevel"/>
    <w:tmpl w:val="24F50726"/>
    <w:lvl w:ilvl="0" w:tentative="0">
      <w:start w:val="2"/>
      <w:numFmt w:val="decimal"/>
      <w:lvlText w:val="%1."/>
      <w:lvlJc w:val="left"/>
      <w:pPr>
        <w:tabs>
          <w:tab w:val="left" w:pos="312"/>
        </w:tabs>
      </w:p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0B4470"/>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BD595A"/>
    <w:rsid w:val="04760E66"/>
    <w:rsid w:val="056A0CD3"/>
    <w:rsid w:val="059958AD"/>
    <w:rsid w:val="05AC2020"/>
    <w:rsid w:val="06C857E7"/>
    <w:rsid w:val="07DB4246"/>
    <w:rsid w:val="08C24A73"/>
    <w:rsid w:val="10BD35C7"/>
    <w:rsid w:val="114608CD"/>
    <w:rsid w:val="11944E2C"/>
    <w:rsid w:val="12583BA5"/>
    <w:rsid w:val="12890A91"/>
    <w:rsid w:val="13BA5B9C"/>
    <w:rsid w:val="14334B2E"/>
    <w:rsid w:val="16E80C72"/>
    <w:rsid w:val="176B4CAE"/>
    <w:rsid w:val="184A28D4"/>
    <w:rsid w:val="1D97DEFF"/>
    <w:rsid w:val="1DED1FB5"/>
    <w:rsid w:val="1DED6B6E"/>
    <w:rsid w:val="1DFF72E5"/>
    <w:rsid w:val="1E7511EA"/>
    <w:rsid w:val="1EFC6F07"/>
    <w:rsid w:val="1F0527A6"/>
    <w:rsid w:val="1F817EB6"/>
    <w:rsid w:val="1FC658C9"/>
    <w:rsid w:val="203E037B"/>
    <w:rsid w:val="22A822BF"/>
    <w:rsid w:val="22AC03C2"/>
    <w:rsid w:val="233139A1"/>
    <w:rsid w:val="233736BD"/>
    <w:rsid w:val="253D662D"/>
    <w:rsid w:val="283B15FE"/>
    <w:rsid w:val="2881431A"/>
    <w:rsid w:val="2B710DDE"/>
    <w:rsid w:val="2D082667"/>
    <w:rsid w:val="2F3342DC"/>
    <w:rsid w:val="2F5A1504"/>
    <w:rsid w:val="2FB13B8E"/>
    <w:rsid w:val="2FDF85B8"/>
    <w:rsid w:val="2FFFEE04"/>
    <w:rsid w:val="30F85AFE"/>
    <w:rsid w:val="311B4943"/>
    <w:rsid w:val="31C95635"/>
    <w:rsid w:val="32DD011C"/>
    <w:rsid w:val="32ED6C2C"/>
    <w:rsid w:val="33AF5350"/>
    <w:rsid w:val="34DF85B0"/>
    <w:rsid w:val="36FE5CC5"/>
    <w:rsid w:val="3B8F36BC"/>
    <w:rsid w:val="3C1852A6"/>
    <w:rsid w:val="41CE16F9"/>
    <w:rsid w:val="42275C19"/>
    <w:rsid w:val="43EB5BA5"/>
    <w:rsid w:val="443E3D7F"/>
    <w:rsid w:val="44C21E17"/>
    <w:rsid w:val="469774CD"/>
    <w:rsid w:val="476B4EF6"/>
    <w:rsid w:val="48594B98"/>
    <w:rsid w:val="491FF225"/>
    <w:rsid w:val="4A8D0DD3"/>
    <w:rsid w:val="4B11273B"/>
    <w:rsid w:val="4EC310A1"/>
    <w:rsid w:val="4FFD214C"/>
    <w:rsid w:val="50181F31"/>
    <w:rsid w:val="520668DB"/>
    <w:rsid w:val="52B23907"/>
    <w:rsid w:val="52EE4337"/>
    <w:rsid w:val="5352765A"/>
    <w:rsid w:val="557422B1"/>
    <w:rsid w:val="55FE4DD1"/>
    <w:rsid w:val="57335763"/>
    <w:rsid w:val="5777D4F5"/>
    <w:rsid w:val="57F22B6F"/>
    <w:rsid w:val="58592953"/>
    <w:rsid w:val="59DD8326"/>
    <w:rsid w:val="5B0F5A4E"/>
    <w:rsid w:val="5BF318A0"/>
    <w:rsid w:val="5DEF592A"/>
    <w:rsid w:val="5FC6BB1E"/>
    <w:rsid w:val="5FF720F1"/>
    <w:rsid w:val="622964C1"/>
    <w:rsid w:val="628D13F9"/>
    <w:rsid w:val="63C50BD8"/>
    <w:rsid w:val="63C6180C"/>
    <w:rsid w:val="67A15484"/>
    <w:rsid w:val="67FF5C0B"/>
    <w:rsid w:val="689123B6"/>
    <w:rsid w:val="6B112D0F"/>
    <w:rsid w:val="6BAA4A2F"/>
    <w:rsid w:val="6BCE135A"/>
    <w:rsid w:val="6DDEC5C0"/>
    <w:rsid w:val="6EB72B3D"/>
    <w:rsid w:val="6EFC0924"/>
    <w:rsid w:val="6FB74722"/>
    <w:rsid w:val="6FEF8B7E"/>
    <w:rsid w:val="700D0DE5"/>
    <w:rsid w:val="717FE77F"/>
    <w:rsid w:val="71A6591B"/>
    <w:rsid w:val="728D72D4"/>
    <w:rsid w:val="737D59BA"/>
    <w:rsid w:val="737F32B1"/>
    <w:rsid w:val="73BD3FCA"/>
    <w:rsid w:val="776BDA01"/>
    <w:rsid w:val="777A720B"/>
    <w:rsid w:val="77C37683"/>
    <w:rsid w:val="783678F9"/>
    <w:rsid w:val="79FF515B"/>
    <w:rsid w:val="7ACA53E2"/>
    <w:rsid w:val="7C315A0D"/>
    <w:rsid w:val="7D3E3E65"/>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link w:val="13"/>
    <w:unhideWhenUsed/>
    <w:qFormat/>
    <w:uiPriority w:val="99"/>
    <w:pPr>
      <w:tabs>
        <w:tab w:val="center" w:pos="4153"/>
        <w:tab w:val="right" w:pos="8306"/>
      </w:tabs>
      <w:snapToGrid w:val="0"/>
      <w:jc w:val="left"/>
    </w:pPr>
    <w:rPr>
      <w:sz w:val="18"/>
      <w:szCs w:val="18"/>
    </w:rPr>
  </w:style>
  <w:style w:type="paragraph" w:styleId="3">
    <w:name w:val="index 5"/>
    <w:basedOn w:val="1"/>
    <w:next w:val="1"/>
    <w:qFormat/>
    <w:uiPriority w:val="0"/>
    <w:pPr>
      <w:ind w:left="800" w:leftChars="8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semiHidden/>
    <w:unhideWhenUsed/>
    <w:qFormat/>
    <w:uiPriority w:val="99"/>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5"/>
    <w:semiHidden/>
    <w:qFormat/>
    <w:uiPriority w:val="0"/>
    <w:pPr>
      <w:snapToGrid w:val="0"/>
      <w:jc w:val="left"/>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2">
    <w:name w:val="页眉 Char"/>
    <w:basedOn w:val="11"/>
    <w:link w:val="7"/>
    <w:qFormat/>
    <w:uiPriority w:val="99"/>
    <w:rPr>
      <w:sz w:val="18"/>
      <w:szCs w:val="18"/>
    </w:rPr>
  </w:style>
  <w:style w:type="character" w:customStyle="1" w:styleId="13">
    <w:name w:val="页脚 Char"/>
    <w:basedOn w:val="11"/>
    <w:link w:val="2"/>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paragraph" w:customStyle="1" w:styleId="20">
    <w:name w:val="Footer"/>
    <w:basedOn w:val="1"/>
    <w:next w:val="1"/>
    <w:qFormat/>
    <w:uiPriority w:val="0"/>
    <w:pPr>
      <w:tabs>
        <w:tab w:val="right" w:pos="4153"/>
        <w:tab w:val="left" w:leader="underscore" w:pos="8306"/>
      </w:tabs>
      <w:snapToGrid w:val="0"/>
      <w:spacing w:line="240" w:lineRule="auto"/>
      <w:jc w:val="left"/>
    </w:pPr>
    <w:rPr>
      <w:kern w:val="2"/>
      <w:sz w:val="18"/>
      <w:szCs w:val="18"/>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9065</Words>
  <Characters>9648</Characters>
  <Lines>63</Lines>
  <Paragraphs>18</Paragraphs>
  <TotalTime>9</TotalTime>
  <ScaleCrop>false</ScaleCrop>
  <LinksUpToDate>false</LinksUpToDate>
  <CharactersWithSpaces>9677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lucky</cp:lastModifiedBy>
  <cp:lastPrinted>2025-09-26T08:29:00Z</cp:lastPrinted>
  <dcterms:modified xsi:type="dcterms:W3CDTF">2025-09-28T08:26:31Z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98623D6660B449428EB8E073C6C952EA</vt:lpwstr>
  </property>
  <property fmtid="{D5CDD505-2E9C-101B-9397-08002B2CF9AE}" pid="4" name="KSOTemplateDocerSaveRecord">
    <vt:lpwstr>eyJoZGlkIjoiMjNiNGQ1Mjc0NTgxOTk5OThjMzdjZmMwZjlkNDI4MzAiLCJ1c2VySWQiOiIxMTk5MDQ0MTU4In0=</vt:lpwstr>
  </property>
</Properties>
</file>